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EF5ED8"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NR#3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F929E4" w:rsidRPr="00F929E4">
        <w:rPr>
          <w:rFonts w:ascii="Arial" w:hAnsi="Arial" w:cs="Arial"/>
          <w:b/>
          <w:sz w:val="24"/>
          <w:szCs w:val="24"/>
        </w:rPr>
        <w:t>R4-1709747</w:t>
      </w:r>
      <w:bookmarkStart w:id="0" w:name="_GoBack"/>
      <w:bookmarkEnd w:id="0"/>
    </w:p>
    <w:p w:rsidR="00F51BE1" w:rsidRDefault="00EF5ED8"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Nagoya</w:t>
      </w:r>
      <w:r w:rsidR="004C5B05" w:rsidRPr="004C5B05">
        <w:rPr>
          <w:rFonts w:ascii="Arial" w:hAnsi="Arial"/>
          <w:b/>
          <w:sz w:val="24"/>
          <w:szCs w:val="24"/>
          <w:lang w:eastAsia="zh-CN"/>
        </w:rPr>
        <w:t xml:space="preserve">, </w:t>
      </w:r>
      <w:r>
        <w:rPr>
          <w:rFonts w:ascii="Arial" w:hAnsi="Arial"/>
          <w:b/>
          <w:sz w:val="24"/>
          <w:szCs w:val="24"/>
          <w:lang w:eastAsia="zh-CN"/>
        </w:rPr>
        <w:t>Japan, 18 - 21</w:t>
      </w:r>
      <w:r w:rsidR="004C5B05" w:rsidRPr="004C5B05">
        <w:rPr>
          <w:rFonts w:ascii="Arial" w:hAnsi="Arial"/>
          <w:b/>
          <w:sz w:val="24"/>
          <w:szCs w:val="24"/>
          <w:lang w:eastAsia="zh-CN"/>
        </w:rPr>
        <w:t xml:space="preserve"> </w:t>
      </w:r>
      <w:r>
        <w:rPr>
          <w:rFonts w:ascii="Arial" w:hAnsi="Arial"/>
          <w:b/>
          <w:sz w:val="24"/>
          <w:szCs w:val="24"/>
          <w:lang w:eastAsia="zh-CN"/>
        </w:rPr>
        <w:t>September</w:t>
      </w:r>
      <w:r w:rsidR="004C5B05" w:rsidRPr="004C5B05">
        <w:rPr>
          <w:rFonts w:ascii="Arial" w:hAnsi="Arial"/>
          <w:b/>
          <w:sz w:val="24"/>
          <w:szCs w:val="24"/>
          <w:lang w:eastAsia="zh-CN"/>
        </w:rPr>
        <w:t xml:space="preserve">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xml:space="preserve"> </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3769BD">
        <w:rPr>
          <w:rFonts w:ascii="Arial" w:hAnsi="Arial" w:cs="Arial"/>
          <w:sz w:val="22"/>
          <w:szCs w:val="22"/>
          <w:lang w:val="en-US"/>
        </w:rPr>
        <w:t>On Spherical Sampling Grid</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ED2263">
        <w:rPr>
          <w:rFonts w:ascii="Arial" w:hAnsi="Arial" w:cs="Arial"/>
          <w:sz w:val="22"/>
          <w:szCs w:val="22"/>
          <w:lang w:val="en-US"/>
        </w:rPr>
        <w:t>3.</w:t>
      </w:r>
      <w:r w:rsidR="00EB4551">
        <w:rPr>
          <w:rFonts w:ascii="Arial" w:hAnsi="Arial" w:cs="Arial"/>
          <w:sz w:val="22"/>
          <w:szCs w:val="22"/>
          <w:lang w:val="en-US"/>
        </w:rPr>
        <w:t>3.3.2.2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9B168F" w:rsidRDefault="003769BD" w:rsidP="008B124A">
      <w:pPr>
        <w:pStyle w:val="BodyText"/>
        <w:rPr>
          <w:lang w:val="en-US"/>
        </w:rPr>
      </w:pPr>
      <w:r>
        <w:rPr>
          <w:lang w:val="en-US"/>
        </w:rPr>
        <w:t xml:space="preserve">For mmWave it is agreed </w:t>
      </w:r>
      <w:r w:rsidR="00A20666">
        <w:rPr>
          <w:lang w:val="en-US"/>
        </w:rPr>
        <w:t xml:space="preserve">that </w:t>
      </w:r>
      <w:r>
        <w:rPr>
          <w:lang w:val="en-US"/>
        </w:rPr>
        <w:t>RF parameters (e.g. maximum output power and REFSENS) are measured over the air</w:t>
      </w:r>
      <w:r w:rsidR="009B168F">
        <w:rPr>
          <w:lang w:val="en-US"/>
        </w:rPr>
        <w:t>. For such measurements it is essential to choose a sampling grid such that correct and reproducible results ore secured.</w:t>
      </w:r>
      <w:r>
        <w:rPr>
          <w:lang w:val="en-US"/>
        </w:rPr>
        <w:t xml:space="preserve"> </w:t>
      </w:r>
      <w:r w:rsidR="009B168F">
        <w:rPr>
          <w:lang w:val="en-US"/>
        </w:rPr>
        <w:t xml:space="preserve">For comparing assumptions from different companies simulation of spherical </w:t>
      </w:r>
      <w:r w:rsidR="00A20666">
        <w:rPr>
          <w:lang w:val="en-US"/>
        </w:rPr>
        <w:t>coverage is performed. For spherical coverage t</w:t>
      </w:r>
      <w:r w:rsidR="009B168F">
        <w:rPr>
          <w:lang w:val="en-US"/>
        </w:rPr>
        <w:t>he same discussing regarding sampling grid will hold.</w:t>
      </w:r>
    </w:p>
    <w:p w:rsidR="003769BD" w:rsidRDefault="003769BD" w:rsidP="008B124A">
      <w:pPr>
        <w:pStyle w:val="BodyText"/>
        <w:rPr>
          <w:lang w:val="en-US"/>
        </w:rPr>
      </w:pPr>
      <w:r>
        <w:rPr>
          <w:lang w:val="en-US"/>
        </w:rPr>
        <w:t xml:space="preserve">Spherical sampling grid has been discussed </w:t>
      </w:r>
      <w:r w:rsidR="009B168F">
        <w:rPr>
          <w:lang w:val="en-US"/>
        </w:rPr>
        <w:t>previously in</w:t>
      </w:r>
      <w:r w:rsidR="003758E6">
        <w:rPr>
          <w:lang w:val="en-US"/>
        </w:rPr>
        <w:t xml:space="preserve"> </w:t>
      </w:r>
      <w:r w:rsidR="00213037">
        <w:rPr>
          <w:lang w:val="en-US"/>
        </w:rPr>
        <w:fldChar w:fldCharType="begin"/>
      </w:r>
      <w:r w:rsidR="00213037">
        <w:rPr>
          <w:lang w:val="en-US"/>
        </w:rPr>
        <w:instrText xml:space="preserve"> REF _Ref492632300 \r \h </w:instrText>
      </w:r>
      <w:r w:rsidR="00213037">
        <w:rPr>
          <w:lang w:val="en-US"/>
        </w:rPr>
      </w:r>
      <w:r w:rsidR="00213037">
        <w:rPr>
          <w:lang w:val="en-US"/>
        </w:rPr>
        <w:fldChar w:fldCharType="separate"/>
      </w:r>
      <w:r w:rsidR="00213037">
        <w:rPr>
          <w:lang w:val="en-US"/>
        </w:rPr>
        <w:t>[1]</w:t>
      </w:r>
      <w:r w:rsidR="00213037">
        <w:rPr>
          <w:lang w:val="en-US"/>
        </w:rPr>
        <w:fldChar w:fldCharType="end"/>
      </w:r>
      <w:r w:rsidR="00213037">
        <w:rPr>
          <w:lang w:val="en-US"/>
        </w:rPr>
        <w:t xml:space="preserve">, </w:t>
      </w:r>
      <w:r w:rsidR="00213037">
        <w:rPr>
          <w:lang w:val="en-US"/>
        </w:rPr>
        <w:fldChar w:fldCharType="begin"/>
      </w:r>
      <w:r w:rsidR="00213037">
        <w:rPr>
          <w:lang w:val="en-US"/>
        </w:rPr>
        <w:instrText xml:space="preserve"> REF _Ref492632309 \r \h </w:instrText>
      </w:r>
      <w:r w:rsidR="00213037">
        <w:rPr>
          <w:lang w:val="en-US"/>
        </w:rPr>
      </w:r>
      <w:r w:rsidR="00213037">
        <w:rPr>
          <w:lang w:val="en-US"/>
        </w:rPr>
        <w:fldChar w:fldCharType="separate"/>
      </w:r>
      <w:r w:rsidR="00213037">
        <w:rPr>
          <w:lang w:val="en-US"/>
        </w:rPr>
        <w:t>[2]</w:t>
      </w:r>
      <w:r w:rsidR="00213037">
        <w:rPr>
          <w:lang w:val="en-US"/>
        </w:rPr>
        <w:fldChar w:fldCharType="end"/>
      </w:r>
      <w:r w:rsidR="00213037">
        <w:rPr>
          <w:lang w:val="en-US"/>
        </w:rPr>
        <w:t xml:space="preserve">, </w:t>
      </w:r>
      <w:r w:rsidR="00A20666">
        <w:rPr>
          <w:lang w:val="en-US"/>
        </w:rPr>
        <w:fldChar w:fldCharType="begin"/>
      </w:r>
      <w:r w:rsidR="00A20666">
        <w:rPr>
          <w:lang w:val="en-US"/>
        </w:rPr>
        <w:instrText xml:space="preserve"> REF _Ref492641144 \r \h </w:instrText>
      </w:r>
      <w:r w:rsidR="00A20666">
        <w:rPr>
          <w:lang w:val="en-US"/>
        </w:rPr>
      </w:r>
      <w:r w:rsidR="00A20666">
        <w:rPr>
          <w:lang w:val="en-US"/>
        </w:rPr>
        <w:fldChar w:fldCharType="separate"/>
      </w:r>
      <w:r w:rsidR="00A20666">
        <w:rPr>
          <w:lang w:val="en-US"/>
        </w:rPr>
        <w:t>[3]</w:t>
      </w:r>
      <w:r w:rsidR="00A20666">
        <w:rPr>
          <w:lang w:val="en-US"/>
        </w:rPr>
        <w:fldChar w:fldCharType="end"/>
      </w:r>
      <w:r w:rsidR="00A361E4">
        <w:rPr>
          <w:lang w:val="en-US"/>
        </w:rPr>
        <w:fldChar w:fldCharType="begin"/>
      </w:r>
      <w:r w:rsidR="00A361E4">
        <w:rPr>
          <w:lang w:val="en-US"/>
        </w:rPr>
        <w:instrText xml:space="preserve"> REF _Ref492641144 \r \h </w:instrText>
      </w:r>
      <w:r w:rsidR="00A361E4">
        <w:rPr>
          <w:lang w:val="en-US"/>
        </w:rPr>
      </w:r>
      <w:r w:rsidR="00A361E4">
        <w:rPr>
          <w:lang w:val="en-US"/>
        </w:rPr>
        <w:fldChar w:fldCharType="end"/>
      </w:r>
      <w:r w:rsidR="00A361E4">
        <w:rPr>
          <w:lang w:val="en-US"/>
        </w:rPr>
        <w:t xml:space="preserve"> and </w:t>
      </w:r>
      <w:r w:rsidR="00A361E4">
        <w:rPr>
          <w:lang w:val="en-US"/>
        </w:rPr>
        <w:fldChar w:fldCharType="begin"/>
      </w:r>
      <w:r w:rsidR="00A361E4">
        <w:rPr>
          <w:lang w:val="en-US"/>
        </w:rPr>
        <w:instrText xml:space="preserve"> REF _Ref492641149 \r \h </w:instrText>
      </w:r>
      <w:r w:rsidR="00A361E4">
        <w:rPr>
          <w:lang w:val="en-US"/>
        </w:rPr>
      </w:r>
      <w:r w:rsidR="00A361E4">
        <w:rPr>
          <w:lang w:val="en-US"/>
        </w:rPr>
        <w:fldChar w:fldCharType="separate"/>
      </w:r>
      <w:r w:rsidR="00A361E4">
        <w:rPr>
          <w:lang w:val="en-US"/>
        </w:rPr>
        <w:t>[4]</w:t>
      </w:r>
      <w:r w:rsidR="00A361E4">
        <w:rPr>
          <w:lang w:val="en-US"/>
        </w:rPr>
        <w:fldChar w:fldCharType="end"/>
      </w:r>
    </w:p>
    <w:p w:rsidR="009914AF" w:rsidRPr="00F32B11" w:rsidRDefault="00213037" w:rsidP="008B124A">
      <w:pPr>
        <w:pStyle w:val="BodyText"/>
        <w:rPr>
          <w:lang w:val="en-US"/>
        </w:rPr>
      </w:pPr>
      <w:r>
        <w:rPr>
          <w:lang w:val="en-US"/>
        </w:rPr>
        <w:t xml:space="preserve">A way forward was agreed already in Spokane January meeting </w:t>
      </w:r>
      <w:r>
        <w:rPr>
          <w:lang w:val="en-US"/>
        </w:rPr>
        <w:fldChar w:fldCharType="begin"/>
      </w:r>
      <w:r>
        <w:rPr>
          <w:lang w:val="en-US"/>
        </w:rPr>
        <w:instrText xml:space="preserve"> REF _Ref492632366 \r \h </w:instrText>
      </w:r>
      <w:r>
        <w:rPr>
          <w:lang w:val="en-US"/>
        </w:rPr>
      </w:r>
      <w:r>
        <w:rPr>
          <w:lang w:val="en-US"/>
        </w:rPr>
        <w:fldChar w:fldCharType="separate"/>
      </w:r>
      <w:r w:rsidR="00A361E4">
        <w:rPr>
          <w:lang w:val="en-US"/>
        </w:rPr>
        <w:t>[5]</w:t>
      </w:r>
      <w:r>
        <w:rPr>
          <w:lang w:val="en-US"/>
        </w:rPr>
        <w:fldChar w:fldCharType="end"/>
      </w:r>
      <w:r w:rsidR="00913DE6">
        <w:rPr>
          <w:lang w:val="en-US"/>
        </w:rPr>
        <w:t xml:space="preserve"> </w:t>
      </w:r>
    </w:p>
    <w:p w:rsidR="002B39C2" w:rsidRDefault="006B4ED0" w:rsidP="00AC1835">
      <w:pPr>
        <w:pStyle w:val="BodyText"/>
      </w:pPr>
      <w:r>
        <w:rPr>
          <w:noProof/>
          <w:lang w:val="en-US" w:eastAsia="ja-JP"/>
        </w:rPr>
        <mc:AlternateContent>
          <mc:Choice Requires="wps">
            <w:drawing>
              <wp:inline distT="0" distB="0" distL="0" distR="0" wp14:anchorId="17B52746" wp14:editId="1BB0632D">
                <wp:extent cx="6264275" cy="2089360"/>
                <wp:effectExtent l="0" t="0" r="22225"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089360"/>
                        </a:xfrm>
                        <a:prstGeom prst="rect">
                          <a:avLst/>
                        </a:prstGeom>
                        <a:solidFill>
                          <a:srgbClr val="FFFFFF"/>
                        </a:solidFill>
                        <a:ln w="9525">
                          <a:solidFill>
                            <a:srgbClr val="000000"/>
                          </a:solidFill>
                          <a:miter lim="800000"/>
                          <a:headEnd/>
                          <a:tailEnd/>
                        </a:ln>
                      </wps:spPr>
                      <wps:txbx>
                        <w:txbxContent>
                          <w:p w:rsidR="00835A40" w:rsidRPr="00213037" w:rsidRDefault="00A26C11" w:rsidP="00213037">
                            <w:pPr>
                              <w:numPr>
                                <w:ilvl w:val="0"/>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WF</w:t>
                            </w:r>
                          </w:p>
                          <w:p w:rsidR="00835A4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CDF of testpoints with uniform surface density over the sphere will be used to describe spherical coverage of mmWave UE EIS and EIRP</w:t>
                            </w:r>
                          </w:p>
                          <w:p w:rsidR="00835A4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Number of points and how to plot CDF is FFS</w:t>
                            </w:r>
                          </w:p>
                          <w:p w:rsidR="00835A4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How to define requirement with CDF as metric is FFS</w:t>
                            </w:r>
                          </w:p>
                          <w:p w:rsidR="006B4ED0" w:rsidRPr="00213037" w:rsidRDefault="006B4ED0" w:rsidP="006B4ED0">
                            <w:pPr>
                              <w:rPr>
                                <w:sz w:val="4"/>
                                <w:lang w:val="en-US"/>
                              </w:rPr>
                            </w:pPr>
                          </w:p>
                        </w:txbxContent>
                      </wps:txbx>
                      <wps:bodyPr rot="0" vert="horz" wrap="square" lIns="91440" tIns="45720" rIns="91440" bIns="45720" anchor="t" anchorCtr="0">
                        <a:spAutoFit/>
                      </wps:bodyPr>
                    </wps:wsp>
                  </a:graphicData>
                </a:graphic>
              </wp:inline>
            </w:drawing>
          </mc:Choice>
          <mc:Fallback>
            <w:pict>
              <v:shapetype w14:anchorId="17B52746" id="_x0000_t202" coordsize="21600,21600" o:spt="202" path="m,l,21600r21600,l21600,xe">
                <v:stroke joinstyle="miter"/>
                <v:path gradientshapeok="t" o:connecttype="rect"/>
              </v:shapetype>
              <v:shape id="Text Box 2" o:spid="_x0000_s1026" type="#_x0000_t202" style="width:493.25pt;height:1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">
                <v:textbox style="mso-fit-shape-to-text:t">
                  <w:txbxContent>
                    <w:p w:rsidR="00000000" w:rsidRPr="00213037" w:rsidRDefault="00A26C11" w:rsidP="00213037">
                      <w:pPr>
                        <w:numPr>
                          <w:ilvl w:val="0"/>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WF</w:t>
                      </w:r>
                    </w:p>
                    <w:p w:rsidR="0000000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 xml:space="preserve">CDF of testpoints with uniform surface density </w:t>
                      </w:r>
                      <w:r w:rsidRPr="00213037">
                        <w:rPr>
                          <w:rFonts w:ascii="Meiryo UI" w:eastAsia="Meiryo UI" w:hAnsi="Meiryo UI" w:cs="Meiryo UI"/>
                          <w:b/>
                          <w:bCs/>
                          <w:color w:val="000000"/>
                          <w:kern w:val="24"/>
                          <w:sz w:val="18"/>
                          <w:szCs w:val="38"/>
                          <w:lang w:val="fi-FI" w:eastAsia="ja-JP"/>
                        </w:rPr>
                        <w:t xml:space="preserve">over the sphere </w:t>
                      </w:r>
                      <w:r w:rsidRPr="00213037">
                        <w:rPr>
                          <w:rFonts w:ascii="Meiryo UI" w:eastAsia="Meiryo UI" w:hAnsi="Meiryo UI" w:cs="Meiryo UI"/>
                          <w:b/>
                          <w:bCs/>
                          <w:color w:val="000000"/>
                          <w:kern w:val="24"/>
                          <w:sz w:val="18"/>
                          <w:szCs w:val="38"/>
                          <w:lang w:val="fi-FI" w:eastAsia="ja-JP"/>
                        </w:rPr>
                        <w:t>will be used to describe spherical coverage of mmWave UE EIS and EIRP</w:t>
                      </w:r>
                    </w:p>
                    <w:p w:rsidR="0000000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Number of points and how to plot CDF is FFS</w:t>
                      </w:r>
                    </w:p>
                    <w:p w:rsidR="00000000" w:rsidRPr="00213037" w:rsidRDefault="00A26C11" w:rsidP="00213037">
                      <w:pPr>
                        <w:numPr>
                          <w:ilvl w:val="1"/>
                          <w:numId w:val="41"/>
                        </w:numPr>
                        <w:rPr>
                          <w:rFonts w:ascii="Meiryo UI" w:eastAsia="Meiryo UI" w:hAnsi="Meiryo UI" w:cs="Meiryo UI"/>
                          <w:b/>
                          <w:bCs/>
                          <w:color w:val="000000"/>
                          <w:kern w:val="24"/>
                          <w:sz w:val="18"/>
                          <w:szCs w:val="38"/>
                          <w:lang w:val="en-US" w:eastAsia="ja-JP"/>
                        </w:rPr>
                      </w:pPr>
                      <w:r w:rsidRPr="00213037">
                        <w:rPr>
                          <w:rFonts w:ascii="Meiryo UI" w:eastAsia="Meiryo UI" w:hAnsi="Meiryo UI" w:cs="Meiryo UI"/>
                          <w:b/>
                          <w:bCs/>
                          <w:color w:val="000000"/>
                          <w:kern w:val="24"/>
                          <w:sz w:val="18"/>
                          <w:szCs w:val="38"/>
                          <w:lang w:val="fi-FI" w:eastAsia="ja-JP"/>
                        </w:rPr>
                        <w:t>How to define requirement with CDF as metric is FFS</w:t>
                      </w:r>
                    </w:p>
                    <w:p w:rsidR="006B4ED0" w:rsidRPr="00213037" w:rsidRDefault="006B4ED0" w:rsidP="006B4ED0">
                      <w:pPr>
                        <w:rPr>
                          <w:sz w:val="4"/>
                          <w:lang w:val="en-US"/>
                        </w:rPr>
                      </w:pPr>
                    </w:p>
                  </w:txbxContent>
                </v:textbox>
                <w10:anchorlock/>
              </v:shape>
            </w:pict>
          </mc:Fallback>
        </mc:AlternateContent>
      </w:r>
    </w:p>
    <w:p w:rsidR="00913DE6" w:rsidRDefault="00913DE6" w:rsidP="00AC1835">
      <w:pPr>
        <w:pStyle w:val="BodyText"/>
        <w:rPr>
          <w:lang w:val="en-US"/>
        </w:rPr>
      </w:pPr>
      <w:r>
        <w:rPr>
          <w:lang w:val="en-US"/>
        </w:rPr>
        <w:t>… and in Athens</w:t>
      </w:r>
      <w:r w:rsidR="00A361E4">
        <w:rPr>
          <w:lang w:val="en-US"/>
        </w:rPr>
        <w:t xml:space="preserve"> </w:t>
      </w:r>
      <w:r w:rsidR="00A361E4">
        <w:rPr>
          <w:lang w:val="en-US"/>
        </w:rPr>
        <w:fldChar w:fldCharType="begin"/>
      </w:r>
      <w:r w:rsidR="00A361E4">
        <w:rPr>
          <w:lang w:val="en-US"/>
        </w:rPr>
        <w:instrText xml:space="preserve"> REF _Ref492641341 \r \h </w:instrText>
      </w:r>
      <w:r w:rsidR="00A361E4">
        <w:rPr>
          <w:lang w:val="en-US"/>
        </w:rPr>
      </w:r>
      <w:r w:rsidR="00A361E4">
        <w:rPr>
          <w:lang w:val="en-US"/>
        </w:rPr>
        <w:fldChar w:fldCharType="separate"/>
      </w:r>
      <w:r w:rsidR="00A361E4">
        <w:rPr>
          <w:lang w:val="en-US"/>
        </w:rPr>
        <w:t>[6]</w:t>
      </w:r>
      <w:r w:rsidR="00A361E4">
        <w:rPr>
          <w:lang w:val="en-US"/>
        </w:rPr>
        <w:fldChar w:fldCharType="end"/>
      </w:r>
    </w:p>
    <w:p w:rsidR="00913DE6" w:rsidRDefault="00913DE6" w:rsidP="00AC1835">
      <w:pPr>
        <w:pStyle w:val="BodyText"/>
      </w:pPr>
      <w:r>
        <w:rPr>
          <w:noProof/>
          <w:lang w:val="en-US" w:eastAsia="ja-JP"/>
        </w:rPr>
        <mc:AlternateContent>
          <mc:Choice Requires="wps">
            <w:drawing>
              <wp:inline distT="0" distB="0" distL="0" distR="0" wp14:anchorId="59A591E9" wp14:editId="3FDB7C59">
                <wp:extent cx="6264275" cy="1073150"/>
                <wp:effectExtent l="0" t="0" r="2222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073150"/>
                        </a:xfrm>
                        <a:prstGeom prst="rect">
                          <a:avLst/>
                        </a:prstGeom>
                        <a:solidFill>
                          <a:srgbClr val="FFFFFF"/>
                        </a:solidFill>
                        <a:ln w="9525">
                          <a:solidFill>
                            <a:srgbClr val="000000"/>
                          </a:solidFill>
                          <a:miter lim="800000"/>
                          <a:headEnd/>
                          <a:tailEnd/>
                        </a:ln>
                      </wps:spPr>
                      <wps:txbx>
                        <w:txbxContent>
                          <w:p w:rsidR="00913DE6" w:rsidRPr="00913DE6" w:rsidRDefault="00913DE6" w:rsidP="00913DE6">
                            <w:pPr>
                              <w:numPr>
                                <w:ilvl w:val="0"/>
                                <w:numId w:val="42"/>
                              </w:numPr>
                              <w:kinsoku w:val="0"/>
                              <w:overflowPunct w:val="0"/>
                              <w:ind w:left="1267"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eastAsia="ja-JP"/>
                              </w:rPr>
                              <w:t xml:space="preserve">Chairman minutes for RAN4#82 captured the Agreement: </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4"/>
                                <w:szCs w:val="24"/>
                                <w:lang w:val="en-US" w:eastAsia="ja-JP"/>
                              </w:rPr>
                            </w:pPr>
                            <w:r w:rsidRPr="00913DE6">
                              <w:rPr>
                                <w:rFonts w:ascii="Calibri" w:eastAsia="+mn-ea" w:hAnsi="Calibri" w:cs="+mn-cs"/>
                                <w:b/>
                                <w:bCs/>
                                <w:color w:val="000000"/>
                                <w:kern w:val="24"/>
                                <w:sz w:val="24"/>
                                <w:szCs w:val="40"/>
                                <w:lang w:val="en-US" w:eastAsia="ja-JP"/>
                              </w:rPr>
                              <w:t xml:space="preserve">Proposal: For CDF method, RAN4 method for describing spherical coverage of RF parameters is CDF where each point represent equal surface area in sphere surrounding the UE. </w:t>
                            </w:r>
                          </w:p>
                          <w:p w:rsidR="00913DE6" w:rsidRPr="00913DE6" w:rsidRDefault="00913DE6" w:rsidP="00913DE6">
                            <w:pPr>
                              <w:numPr>
                                <w:ilvl w:val="2"/>
                                <w:numId w:val="42"/>
                              </w:numPr>
                              <w:kinsoku w:val="0"/>
                              <w:ind w:left="3960" w:hanging="340"/>
                              <w:contextualSpacing/>
                              <w:rPr>
                                <w:rFonts w:eastAsia="Times New Roman"/>
                                <w:szCs w:val="24"/>
                                <w:lang w:val="en-US" w:eastAsia="ja-JP"/>
                              </w:rPr>
                            </w:pPr>
                            <w:r w:rsidRPr="00913DE6">
                              <w:rPr>
                                <w:rFonts w:ascii="Calibri" w:eastAsia="+mn-ea" w:hAnsi="Calibri" w:cs="+mn-cs"/>
                                <w:b/>
                                <w:bCs/>
                                <w:color w:val="000000"/>
                                <w:kern w:val="24"/>
                                <w:szCs w:val="28"/>
                                <w:lang w:val="en-US" w:eastAsia="ja-JP"/>
                              </w:rPr>
                              <w:t>Companies are encouraged to study the advantage of this CDF method.</w:t>
                            </w:r>
                          </w:p>
                          <w:p w:rsidR="00913DE6" w:rsidRPr="00913DE6" w:rsidRDefault="00913DE6" w:rsidP="00913DE6">
                            <w:pPr>
                              <w:numPr>
                                <w:ilvl w:val="2"/>
                                <w:numId w:val="42"/>
                              </w:numPr>
                              <w:kinsoku w:val="0"/>
                              <w:ind w:left="3960" w:hanging="340"/>
                              <w:contextualSpacing/>
                              <w:rPr>
                                <w:rFonts w:eastAsia="Times New Roman"/>
                                <w:szCs w:val="24"/>
                                <w:lang w:val="en-US" w:eastAsia="ja-JP"/>
                              </w:rPr>
                            </w:pPr>
                            <w:r w:rsidRPr="00913DE6">
                              <w:rPr>
                                <w:rFonts w:ascii="Calibri" w:eastAsia="+mn-ea" w:hAnsi="Calibri" w:cs="+mn-cs"/>
                                <w:b/>
                                <w:bCs/>
                                <w:color w:val="000000"/>
                                <w:kern w:val="24"/>
                                <w:szCs w:val="28"/>
                                <w:lang w:val="en-US" w:eastAsia="ja-JP"/>
                              </w:rPr>
                              <w:t>The other method(s) are not precluded.</w:t>
                            </w:r>
                          </w:p>
                          <w:p w:rsidR="00913DE6" w:rsidRPr="00913DE6" w:rsidRDefault="00913DE6" w:rsidP="00913DE6">
                            <w:pPr>
                              <w:numPr>
                                <w:ilvl w:val="1"/>
                                <w:numId w:val="42"/>
                              </w:numPr>
                              <w:kinsoku w:val="0"/>
                              <w:overflowPunct w:val="0"/>
                              <w:ind w:left="1987" w:hanging="340"/>
                              <w:contextualSpacing/>
                              <w:textAlignment w:val="baseline"/>
                              <w:rPr>
                                <w:rFonts w:eastAsia="Times New Roman"/>
                                <w:sz w:val="24"/>
                                <w:szCs w:val="24"/>
                                <w:lang w:val="en-US" w:eastAsia="ja-JP"/>
                              </w:rPr>
                            </w:pPr>
                            <w:r w:rsidRPr="00913DE6">
                              <w:rPr>
                                <w:rFonts w:ascii="Calibri" w:eastAsia="+mn-ea" w:hAnsi="Calibri" w:cs="+mn-cs"/>
                                <w:color w:val="000000"/>
                                <w:kern w:val="24"/>
                                <w:sz w:val="24"/>
                                <w:szCs w:val="40"/>
                                <w:lang w:val="fi-FI" w:eastAsia="ja-JP"/>
                              </w:rPr>
                              <w:t>Following aspect on defining spherical coverage requirements were agreed</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val="en-US" w:eastAsia="ja-JP"/>
                              </w:rPr>
                              <w:t xml:space="preserve">EIRP and EIS requirements </w:t>
                            </w:r>
                            <w:r w:rsidRPr="00913DE6">
                              <w:rPr>
                                <w:rFonts w:ascii="Calibri" w:eastAsia="+mn-ea" w:hAnsi="Calibri" w:cs="+mn-cs"/>
                                <w:color w:val="7030A0"/>
                                <w:kern w:val="24"/>
                                <w:sz w:val="21"/>
                                <w:szCs w:val="32"/>
                                <w:lang w:val="en-US" w:eastAsia="ja-JP"/>
                              </w:rPr>
                              <w:t>can</w:t>
                            </w:r>
                            <w:r w:rsidRPr="00913DE6">
                              <w:rPr>
                                <w:rFonts w:ascii="Calibri" w:eastAsia="+mn-ea" w:hAnsi="Calibri" w:cs="+mn-cs"/>
                                <w:color w:val="000000"/>
                                <w:kern w:val="24"/>
                                <w:sz w:val="21"/>
                                <w:szCs w:val="32"/>
                                <w:lang w:val="en-US" w:eastAsia="ja-JP"/>
                              </w:rPr>
                              <w:t xml:space="preserve"> be defined based on a CDF</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CDF will be based on data taken in connected mode and by measuring EIRP and/or EIS after UE beamforming</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Link antenna position in relation to UE is changed for each testpoint</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000000"/>
                                <w:kern w:val="24"/>
                                <w:sz w:val="16"/>
                                <w:szCs w:val="22"/>
                                <w:lang w:val="en-US" w:eastAsia="ja-JP"/>
                              </w:rPr>
                              <w:t xml:space="preserve">Each test point represents an equal surface area on a sphere surrounding the UE </w:t>
                            </w:r>
                            <w:r w:rsidRPr="00913DE6">
                              <w:rPr>
                                <w:rFonts w:ascii="Calibri" w:eastAsia="+mn-ea" w:hAnsi="Calibri" w:cs="+mn-cs"/>
                                <w:color w:val="00B050"/>
                                <w:kern w:val="24"/>
                                <w:sz w:val="16"/>
                                <w:szCs w:val="22"/>
                                <w:lang w:val="en-US" w:eastAsia="ja-JP"/>
                              </w:rPr>
                              <w:t>The surface area corresponding to each test point is equal to all UE types with different spherical requirement</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 xml:space="preserve">Test point defintion, </w:t>
                            </w:r>
                            <w:r w:rsidRPr="00913DE6">
                              <w:rPr>
                                <w:rFonts w:ascii="Calibri" w:eastAsia="+mn-ea" w:hAnsi="Calibri" w:cs="+mn-cs"/>
                                <w:color w:val="7030A0"/>
                                <w:kern w:val="24"/>
                                <w:sz w:val="16"/>
                                <w:szCs w:val="22"/>
                                <w:lang w:val="fi-FI" w:eastAsia="ja-JP"/>
                              </w:rPr>
                              <w:t xml:space="preserve">applicability of CDF-based requirements, </w:t>
                            </w:r>
                            <w:r w:rsidRPr="00913DE6">
                              <w:rPr>
                                <w:rFonts w:ascii="Calibri" w:eastAsia="+mn-ea" w:hAnsi="Calibri" w:cs="+mn-cs"/>
                                <w:color w:val="FF0000"/>
                                <w:kern w:val="24"/>
                                <w:sz w:val="16"/>
                                <w:szCs w:val="22"/>
                                <w:lang w:val="fi-FI" w:eastAsia="ja-JP"/>
                              </w:rPr>
                              <w:t>method and qua</w:t>
                            </w:r>
                            <w:r w:rsidRPr="00913DE6">
                              <w:rPr>
                                <w:rFonts w:ascii="Calibri" w:eastAsia="+mn-ea" w:hAnsi="Calibri" w:cs="+mn-cs"/>
                                <w:color w:val="0070C0"/>
                                <w:kern w:val="24"/>
                                <w:sz w:val="16"/>
                                <w:szCs w:val="22"/>
                                <w:lang w:val="fi-FI" w:eastAsia="ja-JP"/>
                              </w:rPr>
                              <w:t>n</w:t>
                            </w:r>
                            <w:r w:rsidRPr="00913DE6">
                              <w:rPr>
                                <w:rFonts w:ascii="Calibri" w:eastAsia="+mn-ea" w:hAnsi="Calibri" w:cs="+mn-cs"/>
                                <w:color w:val="FF0000"/>
                                <w:kern w:val="24"/>
                                <w:sz w:val="16"/>
                                <w:szCs w:val="22"/>
                                <w:lang w:val="fi-FI" w:eastAsia="ja-JP"/>
                              </w:rPr>
                              <w:t>tity are FFS</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val="fi-FI" w:eastAsia="ja-JP"/>
                              </w:rPr>
                              <w:t>Other parameters are FFS</w:t>
                            </w:r>
                          </w:p>
                          <w:p w:rsid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7030A0"/>
                                <w:kern w:val="24"/>
                                <w:sz w:val="21"/>
                                <w:szCs w:val="32"/>
                                <w:lang w:val="en-US" w:eastAsia="ja-JP"/>
                              </w:rPr>
                              <w:t>Companies are encouraged to study the advantage of this CDF method.</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7030A0"/>
                                <w:kern w:val="24"/>
                                <w:sz w:val="21"/>
                                <w:szCs w:val="32"/>
                                <w:lang w:val="en-US" w:eastAsia="ja-JP"/>
                              </w:rPr>
                              <w:t>The other method(s) are not precluded.</w:t>
                            </w:r>
                          </w:p>
                        </w:txbxContent>
                      </wps:txbx>
                      <wps:bodyPr rot="0" vert="horz" wrap="square" lIns="91440" tIns="45720" rIns="91440" bIns="45720" anchor="t" anchorCtr="0">
                        <a:spAutoFit/>
                      </wps:bodyPr>
                    </wps:wsp>
                  </a:graphicData>
                </a:graphic>
              </wp:inline>
            </w:drawing>
          </mc:Choice>
          <mc:Fallback>
            <w:pict>
              <v:shape w14:anchorId="59A591E9" id="_x0000_s1027" type="#_x0000_t202" style="width:493.25pt;height: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">
                <v:textbox style="mso-fit-shape-to-text:t">
                  <w:txbxContent>
                    <w:p w:rsidR="00913DE6" w:rsidRPr="00913DE6" w:rsidRDefault="00913DE6" w:rsidP="00913DE6">
                      <w:pPr>
                        <w:numPr>
                          <w:ilvl w:val="0"/>
                          <w:numId w:val="42"/>
                        </w:numPr>
                        <w:kinsoku w:val="0"/>
                        <w:overflowPunct w:val="0"/>
                        <w:ind w:left="1267"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eastAsia="ja-JP"/>
                        </w:rPr>
                        <w:t xml:space="preserve">Chairman minutes for RAN4#82 captured the Agreement: </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4"/>
                          <w:szCs w:val="24"/>
                          <w:lang w:val="en-US" w:eastAsia="ja-JP"/>
                        </w:rPr>
                      </w:pPr>
                      <w:r w:rsidRPr="00913DE6">
                        <w:rPr>
                          <w:rFonts w:ascii="Calibri" w:eastAsia="+mn-ea" w:hAnsi="Calibri" w:cs="+mn-cs"/>
                          <w:b/>
                          <w:bCs/>
                          <w:color w:val="000000"/>
                          <w:kern w:val="24"/>
                          <w:sz w:val="24"/>
                          <w:szCs w:val="40"/>
                          <w:lang w:val="en-US" w:eastAsia="ja-JP"/>
                        </w:rPr>
                        <w:t xml:space="preserve">Proposal: For CDF method, RAN4 method for describing spherical coverage of RF parameters is CDF where each point represent equal surface area in sphere surrounding the UE. </w:t>
                      </w:r>
                    </w:p>
                    <w:p w:rsidR="00913DE6" w:rsidRPr="00913DE6" w:rsidRDefault="00913DE6" w:rsidP="00913DE6">
                      <w:pPr>
                        <w:numPr>
                          <w:ilvl w:val="2"/>
                          <w:numId w:val="42"/>
                        </w:numPr>
                        <w:kinsoku w:val="0"/>
                        <w:ind w:left="3960" w:hanging="340"/>
                        <w:contextualSpacing/>
                        <w:rPr>
                          <w:rFonts w:eastAsia="Times New Roman"/>
                          <w:szCs w:val="24"/>
                          <w:lang w:val="en-US" w:eastAsia="ja-JP"/>
                        </w:rPr>
                      </w:pPr>
                      <w:r w:rsidRPr="00913DE6">
                        <w:rPr>
                          <w:rFonts w:ascii="Calibri" w:eastAsia="+mn-ea" w:hAnsi="Calibri" w:cs="+mn-cs"/>
                          <w:b/>
                          <w:bCs/>
                          <w:color w:val="000000"/>
                          <w:kern w:val="24"/>
                          <w:szCs w:val="28"/>
                          <w:lang w:val="en-US" w:eastAsia="ja-JP"/>
                        </w:rPr>
                        <w:t>Companies are encouraged to study the advantage of this CDF method.</w:t>
                      </w:r>
                    </w:p>
                    <w:p w:rsidR="00913DE6" w:rsidRPr="00913DE6" w:rsidRDefault="00913DE6" w:rsidP="00913DE6">
                      <w:pPr>
                        <w:numPr>
                          <w:ilvl w:val="2"/>
                          <w:numId w:val="42"/>
                        </w:numPr>
                        <w:kinsoku w:val="0"/>
                        <w:ind w:left="3960" w:hanging="340"/>
                        <w:contextualSpacing/>
                        <w:rPr>
                          <w:rFonts w:eastAsia="Times New Roman"/>
                          <w:szCs w:val="24"/>
                          <w:lang w:val="en-US" w:eastAsia="ja-JP"/>
                        </w:rPr>
                      </w:pPr>
                      <w:r w:rsidRPr="00913DE6">
                        <w:rPr>
                          <w:rFonts w:ascii="Calibri" w:eastAsia="+mn-ea" w:hAnsi="Calibri" w:cs="+mn-cs"/>
                          <w:b/>
                          <w:bCs/>
                          <w:color w:val="000000"/>
                          <w:kern w:val="24"/>
                          <w:szCs w:val="28"/>
                          <w:lang w:val="en-US" w:eastAsia="ja-JP"/>
                        </w:rPr>
                        <w:t>The other method(s) are not precluded.</w:t>
                      </w:r>
                    </w:p>
                    <w:p w:rsidR="00913DE6" w:rsidRPr="00913DE6" w:rsidRDefault="00913DE6" w:rsidP="00913DE6">
                      <w:pPr>
                        <w:numPr>
                          <w:ilvl w:val="1"/>
                          <w:numId w:val="42"/>
                        </w:numPr>
                        <w:kinsoku w:val="0"/>
                        <w:overflowPunct w:val="0"/>
                        <w:ind w:left="1987" w:hanging="340"/>
                        <w:contextualSpacing/>
                        <w:textAlignment w:val="baseline"/>
                        <w:rPr>
                          <w:rFonts w:eastAsia="Times New Roman"/>
                          <w:sz w:val="24"/>
                          <w:szCs w:val="24"/>
                          <w:lang w:val="en-US" w:eastAsia="ja-JP"/>
                        </w:rPr>
                      </w:pPr>
                      <w:r w:rsidRPr="00913DE6">
                        <w:rPr>
                          <w:rFonts w:ascii="Calibri" w:eastAsia="+mn-ea" w:hAnsi="Calibri" w:cs="+mn-cs"/>
                          <w:color w:val="000000"/>
                          <w:kern w:val="24"/>
                          <w:sz w:val="24"/>
                          <w:szCs w:val="40"/>
                          <w:lang w:val="fi-FI" w:eastAsia="ja-JP"/>
                        </w:rPr>
                        <w:t>Following aspect on defining spherical coverage requirements were agreed</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val="en-US" w:eastAsia="ja-JP"/>
                        </w:rPr>
                        <w:t xml:space="preserve">EIRP and EIS requirements </w:t>
                      </w:r>
                      <w:r w:rsidRPr="00913DE6">
                        <w:rPr>
                          <w:rFonts w:ascii="Calibri" w:eastAsia="+mn-ea" w:hAnsi="Calibri" w:cs="+mn-cs"/>
                          <w:color w:val="7030A0"/>
                          <w:kern w:val="24"/>
                          <w:sz w:val="21"/>
                          <w:szCs w:val="32"/>
                          <w:lang w:val="en-US" w:eastAsia="ja-JP"/>
                        </w:rPr>
                        <w:t>can</w:t>
                      </w:r>
                      <w:r w:rsidRPr="00913DE6">
                        <w:rPr>
                          <w:rFonts w:ascii="Calibri" w:eastAsia="+mn-ea" w:hAnsi="Calibri" w:cs="+mn-cs"/>
                          <w:color w:val="000000"/>
                          <w:kern w:val="24"/>
                          <w:sz w:val="21"/>
                          <w:szCs w:val="32"/>
                          <w:lang w:val="en-US" w:eastAsia="ja-JP"/>
                        </w:rPr>
                        <w:t xml:space="preserve"> be defined based on a CDF</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CDF will be based on data taken in connected mode and by measuring EIRP and/or EIS after UE beamforming</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Link antenna position in relation to UE is changed for each testpoint</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000000"/>
                          <w:kern w:val="24"/>
                          <w:sz w:val="16"/>
                          <w:szCs w:val="22"/>
                          <w:lang w:val="en-US" w:eastAsia="ja-JP"/>
                        </w:rPr>
                        <w:t xml:space="preserve">Each test point represents an equal surface area on a sphere surrounding the UE </w:t>
                      </w:r>
                      <w:r w:rsidRPr="00913DE6">
                        <w:rPr>
                          <w:rFonts w:ascii="Calibri" w:eastAsia="+mn-ea" w:hAnsi="Calibri" w:cs="+mn-cs"/>
                          <w:color w:val="00B050"/>
                          <w:kern w:val="24"/>
                          <w:sz w:val="16"/>
                          <w:szCs w:val="22"/>
                          <w:lang w:val="en-US" w:eastAsia="ja-JP"/>
                        </w:rPr>
                        <w:t>The surface area corresponding to each test point is equal to all UE types with different spherical requirement</w:t>
                      </w:r>
                    </w:p>
                    <w:p w:rsidR="00913DE6" w:rsidRPr="00913DE6" w:rsidRDefault="00913DE6" w:rsidP="00913DE6">
                      <w:pPr>
                        <w:numPr>
                          <w:ilvl w:val="2"/>
                          <w:numId w:val="42"/>
                        </w:numPr>
                        <w:kinsoku w:val="0"/>
                        <w:overflowPunct w:val="0"/>
                        <w:ind w:left="3960" w:hanging="340"/>
                        <w:contextualSpacing/>
                        <w:textAlignment w:val="baseline"/>
                        <w:rPr>
                          <w:rFonts w:eastAsia="Times New Roman"/>
                          <w:sz w:val="16"/>
                          <w:szCs w:val="24"/>
                          <w:lang w:val="en-US" w:eastAsia="ja-JP"/>
                        </w:rPr>
                      </w:pPr>
                      <w:r w:rsidRPr="00913DE6">
                        <w:rPr>
                          <w:rFonts w:ascii="Calibri" w:eastAsia="+mn-ea" w:hAnsi="Calibri" w:cs="+mn-cs"/>
                          <w:color w:val="FF0000"/>
                          <w:kern w:val="24"/>
                          <w:sz w:val="16"/>
                          <w:szCs w:val="22"/>
                          <w:lang w:val="fi-FI" w:eastAsia="ja-JP"/>
                        </w:rPr>
                        <w:t xml:space="preserve">Test point defintion, </w:t>
                      </w:r>
                      <w:r w:rsidRPr="00913DE6">
                        <w:rPr>
                          <w:rFonts w:ascii="Calibri" w:eastAsia="+mn-ea" w:hAnsi="Calibri" w:cs="+mn-cs"/>
                          <w:color w:val="7030A0"/>
                          <w:kern w:val="24"/>
                          <w:sz w:val="16"/>
                          <w:szCs w:val="22"/>
                          <w:lang w:val="fi-FI" w:eastAsia="ja-JP"/>
                        </w:rPr>
                        <w:t xml:space="preserve">applicability of CDF-based requirements, </w:t>
                      </w:r>
                      <w:r w:rsidRPr="00913DE6">
                        <w:rPr>
                          <w:rFonts w:ascii="Calibri" w:eastAsia="+mn-ea" w:hAnsi="Calibri" w:cs="+mn-cs"/>
                          <w:color w:val="FF0000"/>
                          <w:kern w:val="24"/>
                          <w:sz w:val="16"/>
                          <w:szCs w:val="22"/>
                          <w:lang w:val="fi-FI" w:eastAsia="ja-JP"/>
                        </w:rPr>
                        <w:t>method and qua</w:t>
                      </w:r>
                      <w:r w:rsidRPr="00913DE6">
                        <w:rPr>
                          <w:rFonts w:ascii="Calibri" w:eastAsia="+mn-ea" w:hAnsi="Calibri" w:cs="+mn-cs"/>
                          <w:color w:val="0070C0"/>
                          <w:kern w:val="24"/>
                          <w:sz w:val="16"/>
                          <w:szCs w:val="22"/>
                          <w:lang w:val="fi-FI" w:eastAsia="ja-JP"/>
                        </w:rPr>
                        <w:t>n</w:t>
                      </w:r>
                      <w:r w:rsidRPr="00913DE6">
                        <w:rPr>
                          <w:rFonts w:ascii="Calibri" w:eastAsia="+mn-ea" w:hAnsi="Calibri" w:cs="+mn-cs"/>
                          <w:color w:val="FF0000"/>
                          <w:kern w:val="24"/>
                          <w:sz w:val="16"/>
                          <w:szCs w:val="22"/>
                          <w:lang w:val="fi-FI" w:eastAsia="ja-JP"/>
                        </w:rPr>
                        <w:t>tity are FFS</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000000"/>
                          <w:kern w:val="24"/>
                          <w:sz w:val="21"/>
                          <w:szCs w:val="32"/>
                          <w:lang w:val="fi-FI" w:eastAsia="ja-JP"/>
                        </w:rPr>
                        <w:t>Other parameters are FFS</w:t>
                      </w:r>
                    </w:p>
                    <w:p w:rsid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7030A0"/>
                          <w:kern w:val="24"/>
                          <w:sz w:val="21"/>
                          <w:szCs w:val="32"/>
                          <w:lang w:val="en-US" w:eastAsia="ja-JP"/>
                        </w:rPr>
                        <w:t>Companies are encouraged to study the advantage of this CDF method.</w:t>
                      </w:r>
                    </w:p>
                    <w:p w:rsidR="00913DE6" w:rsidRPr="00913DE6" w:rsidRDefault="00913DE6" w:rsidP="00913DE6">
                      <w:pPr>
                        <w:numPr>
                          <w:ilvl w:val="1"/>
                          <w:numId w:val="42"/>
                        </w:numPr>
                        <w:kinsoku w:val="0"/>
                        <w:overflowPunct w:val="0"/>
                        <w:ind w:left="2606" w:hanging="340"/>
                        <w:contextualSpacing/>
                        <w:textAlignment w:val="baseline"/>
                        <w:rPr>
                          <w:rFonts w:eastAsia="Times New Roman"/>
                          <w:sz w:val="21"/>
                          <w:szCs w:val="24"/>
                          <w:lang w:val="en-US" w:eastAsia="ja-JP"/>
                        </w:rPr>
                      </w:pPr>
                      <w:r w:rsidRPr="00913DE6">
                        <w:rPr>
                          <w:rFonts w:ascii="Calibri" w:eastAsia="+mn-ea" w:hAnsi="Calibri" w:cs="+mn-cs"/>
                          <w:color w:val="7030A0"/>
                          <w:kern w:val="24"/>
                          <w:sz w:val="21"/>
                          <w:szCs w:val="32"/>
                          <w:lang w:val="en-US" w:eastAsia="ja-JP"/>
                        </w:rPr>
                        <w:t>The other method(s) are not precluded.</w:t>
                      </w:r>
                    </w:p>
                  </w:txbxContent>
                </v:textbox>
                <w10:anchorlock/>
              </v:shape>
            </w:pict>
          </mc:Fallback>
        </mc:AlternateContent>
      </w:r>
    </w:p>
    <w:p w:rsidR="00A20666" w:rsidRDefault="00A20666" w:rsidP="00AC1835">
      <w:pPr>
        <w:pStyle w:val="BodyText"/>
        <w:rPr>
          <w:lang w:val="en-US"/>
        </w:rPr>
      </w:pPr>
    </w:p>
    <w:p w:rsidR="00A361E4" w:rsidRDefault="00A361E4" w:rsidP="00AC1835">
      <w:pPr>
        <w:pStyle w:val="BodyText"/>
        <w:rPr>
          <w:lang w:val="en-US"/>
        </w:rPr>
      </w:pPr>
      <w:r>
        <w:rPr>
          <w:lang w:val="en-US"/>
        </w:rPr>
        <w:t xml:space="preserve">Since decades </w:t>
      </w:r>
      <w:r w:rsidR="002F6E32">
        <w:rPr>
          <w:lang w:val="en-US"/>
        </w:rPr>
        <w:t xml:space="preserve">the convention </w:t>
      </w:r>
      <w:r w:rsidR="002F6E32" w:rsidRPr="00A361E4">
        <w:rPr>
          <w:lang w:val="en-US"/>
        </w:rPr>
        <w:t xml:space="preserve">for antenna description </w:t>
      </w:r>
      <w:r w:rsidR="002F6E32">
        <w:rPr>
          <w:lang w:val="en-US"/>
        </w:rPr>
        <w:t>is to use</w:t>
      </w:r>
      <w:r w:rsidRPr="00A361E4">
        <w:rPr>
          <w:lang w:val="en-US"/>
        </w:rPr>
        <w:t xml:space="preserve"> </w:t>
      </w:r>
      <w:r w:rsidR="002F6E32">
        <w:rPr>
          <w:lang w:val="en-US"/>
        </w:rPr>
        <w:t>is Solid angle where dΩ = sin</w:t>
      </w:r>
      <w:r w:rsidR="002F6E32">
        <w:rPr>
          <w:lang w:val="en-US"/>
        </w:rPr>
        <w:sym w:font="Symbol" w:char="F071"/>
      </w:r>
      <w:r w:rsidRPr="00A361E4">
        <w:rPr>
          <w:lang w:val="en-US"/>
        </w:rPr>
        <w:t xml:space="preserve"> d</w:t>
      </w:r>
      <w:r w:rsidR="002F6E32">
        <w:rPr>
          <w:lang w:val="en-US"/>
        </w:rPr>
        <w:sym w:font="Symbol" w:char="F071"/>
      </w:r>
      <w:r w:rsidRPr="00A361E4">
        <w:rPr>
          <w:lang w:val="en-US"/>
        </w:rPr>
        <w:t xml:space="preserve"> d</w:t>
      </w:r>
      <w:r w:rsidR="002F6E32">
        <w:rPr>
          <w:lang w:val="en-US"/>
        </w:rPr>
        <w:sym w:font="Symbol" w:char="F06A"/>
      </w:r>
      <w:r w:rsidRPr="00A361E4">
        <w:rPr>
          <w:lang w:val="en-US"/>
        </w:rPr>
        <w:t xml:space="preserve"> are swept</w:t>
      </w:r>
      <w:r w:rsidR="002F6E32">
        <w:rPr>
          <w:lang w:val="en-US"/>
        </w:rPr>
        <w:t>.</w:t>
      </w:r>
      <w:r w:rsidRPr="00A361E4">
        <w:rPr>
          <w:lang w:val="en-US"/>
        </w:rPr>
        <w:t xml:space="preserve"> This gives the equal sampling area over the spherical surface. </w:t>
      </w:r>
      <w:r w:rsidR="002F6E32">
        <w:rPr>
          <w:lang w:val="en-US"/>
        </w:rPr>
        <w:t xml:space="preserve">In some RAN4 meetings this method (despite used an almost all scientific papers) </w:t>
      </w:r>
      <w:r w:rsidR="00A20666">
        <w:rPr>
          <w:lang w:val="en-US"/>
        </w:rPr>
        <w:t>has been put in question</w:t>
      </w:r>
      <w:r w:rsidR="002F6E32">
        <w:rPr>
          <w:lang w:val="en-US"/>
        </w:rPr>
        <w:t>? E.G. it has been claimed the solid angle approach will give incorrect answer when applied to EIRP. In this paper will make an experiment to show this view is incorrect.</w:t>
      </w:r>
    </w:p>
    <w:p w:rsidR="00BB0EB2" w:rsidRDefault="00D91B89" w:rsidP="001C3C8E">
      <w:pPr>
        <w:pStyle w:val="Heading1"/>
        <w:keepLines/>
        <w:pBdr>
          <w:top w:val="single" w:sz="12" w:space="3" w:color="auto"/>
        </w:pBdr>
        <w:overflowPunct w:val="0"/>
        <w:autoSpaceDE w:val="0"/>
        <w:autoSpaceDN w:val="0"/>
        <w:adjustRightInd w:val="0"/>
        <w:spacing w:after="180"/>
        <w:ind w:right="0"/>
        <w:textAlignment w:val="baseline"/>
      </w:pPr>
      <w:r>
        <w:lastRenderedPageBreak/>
        <w:t>Experiment</w:t>
      </w:r>
    </w:p>
    <w:p w:rsidR="00D91B89" w:rsidRDefault="00D91B89" w:rsidP="00D91B89">
      <w:pPr>
        <w:pStyle w:val="BodyText"/>
      </w:pPr>
      <w:r>
        <w:t xml:space="preserve">The same 2x2 patch antenna array was simulated </w:t>
      </w:r>
      <w:r w:rsidR="00C75E19">
        <w:t xml:space="preserve">while </w:t>
      </w:r>
      <w:r>
        <w:t>orientated in two different positions</w:t>
      </w:r>
      <w:r w:rsidR="00C75E19">
        <w:t>,</w:t>
      </w:r>
      <w:r>
        <w:t xml:space="preserve"> according to </w:t>
      </w:r>
      <w:r>
        <w:fldChar w:fldCharType="begin"/>
      </w:r>
      <w:r>
        <w:instrText xml:space="preserve"> REF _Ref481504624 \h </w:instrText>
      </w:r>
      <w:r>
        <w:fldChar w:fldCharType="separate"/>
      </w:r>
      <w:r>
        <w:t xml:space="preserve">Figure </w:t>
      </w:r>
      <w:r>
        <w:rPr>
          <w:noProof/>
        </w:rPr>
        <w:t>1</w:t>
      </w:r>
      <w:r>
        <w:fldChar w:fldCharType="end"/>
      </w:r>
      <w:r>
        <w:t xml:space="preserve">. For this experiment BF was applied with the centre beam which is the narrowest for this 2x2 matrix. Sampling was done in 1 degree steps of </w:t>
      </w:r>
      <w:r>
        <w:rPr>
          <w:lang w:val="en-US"/>
        </w:rPr>
        <w:sym w:font="Symbol" w:char="F071"/>
      </w:r>
      <w:r w:rsidR="00205D33">
        <w:rPr>
          <w:lang w:val="en-US"/>
        </w:rPr>
        <w:t xml:space="preserve"> and </w:t>
      </w:r>
      <w:r>
        <w:rPr>
          <w:lang w:val="en-US"/>
        </w:rPr>
        <w:sym w:font="Symbol" w:char="F06A"/>
      </w:r>
      <w:r w:rsidR="00205D33">
        <w:rPr>
          <w:lang w:val="en-US"/>
        </w:rPr>
        <w:t xml:space="preserve"> and result scaled with sin</w:t>
      </w:r>
      <w:r w:rsidR="00205D33">
        <w:rPr>
          <w:lang w:val="en-US"/>
        </w:rPr>
        <w:sym w:font="Symbol" w:char="F071"/>
      </w:r>
      <w:r w:rsidR="00205D33">
        <w:rPr>
          <w:lang w:val="en-US"/>
        </w:rPr>
        <w:t xml:space="preserve">. </w:t>
      </w:r>
      <w:r w:rsidR="00A20666">
        <w:rPr>
          <w:lang w:val="en-US"/>
        </w:rPr>
        <w:t xml:space="preserve">The scan pattern for the two orientations is shown in </w:t>
      </w:r>
      <w:r w:rsidR="00A20666">
        <w:rPr>
          <w:lang w:val="en-US"/>
        </w:rPr>
        <w:fldChar w:fldCharType="begin"/>
      </w:r>
      <w:r w:rsidR="00A20666">
        <w:rPr>
          <w:lang w:val="en-US"/>
        </w:rPr>
        <w:instrText xml:space="preserve"> REF _Ref492657927 \h </w:instrText>
      </w:r>
      <w:r w:rsidR="00A20666">
        <w:rPr>
          <w:lang w:val="en-US"/>
        </w:rPr>
      </w:r>
      <w:r w:rsidR="00A20666">
        <w:rPr>
          <w:lang w:val="en-US"/>
        </w:rPr>
        <w:fldChar w:fldCharType="separate"/>
      </w:r>
      <w:r w:rsidR="00A20666">
        <w:t xml:space="preserve">Figure </w:t>
      </w:r>
      <w:r w:rsidR="00A20666">
        <w:rPr>
          <w:noProof/>
        </w:rPr>
        <w:t>2</w:t>
      </w:r>
      <w:r w:rsidR="00A20666">
        <w:rPr>
          <w:lang w:val="en-US"/>
        </w:rPr>
        <w:fldChar w:fldCharType="end"/>
      </w:r>
      <w:r w:rsidR="00A20666">
        <w:rPr>
          <w:lang w:val="en-US"/>
        </w:rPr>
        <w:t xml:space="preserve"> and t</w:t>
      </w:r>
      <w:r w:rsidR="00205D33">
        <w:rPr>
          <w:lang w:val="en-US"/>
        </w:rPr>
        <w:t xml:space="preserve">he result in terms of </w:t>
      </w:r>
      <w:r w:rsidR="00A90FD7">
        <w:rPr>
          <w:lang w:val="en-US"/>
        </w:rPr>
        <w:t>array gain</w:t>
      </w:r>
      <w:r w:rsidR="00205D33">
        <w:rPr>
          <w:lang w:val="en-US"/>
        </w:rPr>
        <w:t xml:space="preserve"> </w:t>
      </w:r>
      <w:r w:rsidR="00A20666">
        <w:rPr>
          <w:lang w:val="en-US"/>
        </w:rPr>
        <w:t>plotted as a CDF</w:t>
      </w:r>
      <w:r w:rsidR="00CC6857">
        <w:rPr>
          <w:lang w:val="en-US"/>
        </w:rPr>
        <w:t xml:space="preserve"> is </w:t>
      </w:r>
      <w:r w:rsidR="00205D33">
        <w:rPr>
          <w:lang w:val="en-US"/>
        </w:rPr>
        <w:t>shown in</w:t>
      </w:r>
      <w:r w:rsidR="00CC6857">
        <w:rPr>
          <w:lang w:val="en-US"/>
        </w:rPr>
        <w:t xml:space="preserve"> </w:t>
      </w:r>
      <w:r w:rsidR="00CC6857">
        <w:rPr>
          <w:lang w:val="en-US"/>
        </w:rPr>
        <w:fldChar w:fldCharType="begin"/>
      </w:r>
      <w:r w:rsidR="00CC6857">
        <w:rPr>
          <w:lang w:val="en-US"/>
        </w:rPr>
        <w:instrText xml:space="preserve"> REF _Ref492652001 \h </w:instrText>
      </w:r>
      <w:r w:rsidR="00CC6857">
        <w:rPr>
          <w:lang w:val="en-US"/>
        </w:rPr>
      </w:r>
      <w:r w:rsidR="00CC6857">
        <w:rPr>
          <w:lang w:val="en-US"/>
        </w:rPr>
        <w:fldChar w:fldCharType="separate"/>
      </w:r>
      <w:r w:rsidR="00A20666">
        <w:t xml:space="preserve">Figure </w:t>
      </w:r>
      <w:r w:rsidR="00A20666">
        <w:rPr>
          <w:noProof/>
        </w:rPr>
        <w:t>3</w:t>
      </w:r>
      <w:r w:rsidR="00CC6857">
        <w:rPr>
          <w:lang w:val="en-US"/>
        </w:rPr>
        <w:fldChar w:fldCharType="end"/>
      </w:r>
      <w:r w:rsidR="00A20666">
        <w:rPr>
          <w:lang w:val="en-US"/>
        </w:rPr>
        <w:t>. I</w:t>
      </w:r>
      <w:r w:rsidR="00CC6857">
        <w:rPr>
          <w:lang w:val="en-US"/>
        </w:rPr>
        <w:t xml:space="preserve">t </w:t>
      </w:r>
      <w:r w:rsidR="00CC6857">
        <w:t>can be seen</w:t>
      </w:r>
      <w:r w:rsidR="00A20666">
        <w:t xml:space="preserve"> that</w:t>
      </w:r>
      <w:r w:rsidR="00CC6857">
        <w:t xml:space="preserve"> there is now difference between the two orientations.</w:t>
      </w:r>
    </w:p>
    <w:p w:rsidR="00537B8D" w:rsidRDefault="00537B8D" w:rsidP="00537B8D">
      <w:pPr>
        <w:pStyle w:val="BodyText"/>
        <w:ind w:left="1418" w:hanging="1418"/>
        <w:rPr>
          <w:b/>
          <w:lang w:val="en-US"/>
        </w:rPr>
      </w:pPr>
      <w:r w:rsidRPr="00CC6857">
        <w:rPr>
          <w:b/>
        </w:rPr>
        <w:t xml:space="preserve">Observation 1. </w:t>
      </w:r>
      <w:r>
        <w:rPr>
          <w:b/>
        </w:rPr>
        <w:tab/>
      </w:r>
      <w:r w:rsidRPr="00CC6857">
        <w:rPr>
          <w:b/>
        </w:rPr>
        <w:t xml:space="preserve">There is no difference in CDF result depending on antenna array orientation when using </w:t>
      </w:r>
      <w:r w:rsidRPr="00CC6857">
        <w:rPr>
          <w:b/>
          <w:lang w:val="en-US"/>
        </w:rPr>
        <w:t>solid angle dΩ = sin</w:t>
      </w:r>
      <w:r w:rsidRPr="00CC6857">
        <w:rPr>
          <w:b/>
          <w:lang w:val="en-US"/>
        </w:rPr>
        <w:sym w:font="Symbol" w:char="F071"/>
      </w:r>
      <w:r w:rsidRPr="00CC6857">
        <w:rPr>
          <w:b/>
          <w:lang w:val="en-US"/>
        </w:rPr>
        <w:t xml:space="preserve"> d</w:t>
      </w:r>
      <w:r w:rsidRPr="00CC6857">
        <w:rPr>
          <w:b/>
          <w:lang w:val="en-US"/>
        </w:rPr>
        <w:sym w:font="Symbol" w:char="F071"/>
      </w:r>
      <w:r w:rsidRPr="00CC6857">
        <w:rPr>
          <w:b/>
          <w:lang w:val="en-US"/>
        </w:rPr>
        <w:t xml:space="preserve"> d</w:t>
      </w:r>
      <w:r w:rsidRPr="00CC6857">
        <w:rPr>
          <w:b/>
          <w:lang w:val="en-US"/>
        </w:rPr>
        <w:sym w:font="Symbol" w:char="F06A"/>
      </w:r>
      <w:r w:rsidRPr="00CC6857">
        <w:rPr>
          <w:b/>
          <w:lang w:val="en-US"/>
        </w:rPr>
        <w:t xml:space="preserve"> sweep.</w:t>
      </w:r>
    </w:p>
    <w:p w:rsidR="00537B8D" w:rsidRPr="00537B8D" w:rsidRDefault="00537B8D" w:rsidP="00537B8D">
      <w:pPr>
        <w:pStyle w:val="BodyText"/>
        <w:ind w:left="1418" w:hanging="1418"/>
        <w:rPr>
          <w:b/>
          <w:lang w:val="en-US"/>
        </w:rPr>
      </w:pPr>
      <w:r w:rsidRPr="00537B8D">
        <w:rPr>
          <w:b/>
        </w:rPr>
        <w:t>Proposal</w:t>
      </w:r>
      <w:r>
        <w:rPr>
          <w:b/>
          <w:lang w:val="en-US"/>
        </w:rPr>
        <w:t xml:space="preserve"> 1. </w:t>
      </w:r>
      <w:r>
        <w:rPr>
          <w:b/>
          <w:lang w:val="en-US"/>
        </w:rPr>
        <w:tab/>
        <w:t>The CDF shall be simulated and measured in a widely recognized way, such as solid angle, or a method verified against a widely recognized way.</w:t>
      </w:r>
    </w:p>
    <w:p w:rsidR="005051F5" w:rsidRPr="00537B8D" w:rsidRDefault="005051F5" w:rsidP="00092B8A">
      <w:pPr>
        <w:pStyle w:val="BodyText"/>
        <w:rPr>
          <w:lang w:val="en-US"/>
        </w:rPr>
      </w:pPr>
    </w:p>
    <w:p w:rsidR="00092B8A" w:rsidRDefault="008C2E6A" w:rsidP="003D1192">
      <w:pPr>
        <w:pStyle w:val="BodyText"/>
        <w:jc w:val="center"/>
      </w:pPr>
      <w:r>
        <w:rPr>
          <w:noProof/>
          <w:lang w:val="en-US" w:eastAsia="ja-JP"/>
        </w:rPr>
        <w:drawing>
          <wp:inline distT="0" distB="0" distL="0" distR="0" wp14:anchorId="18DC7552" wp14:editId="5C8D7AE4">
            <wp:extent cx="2631740" cy="23564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4157" cy="2394465"/>
                    </a:xfrm>
                    <a:prstGeom prst="rect">
                      <a:avLst/>
                    </a:prstGeom>
                    <a:noFill/>
                  </pic:spPr>
                </pic:pic>
              </a:graphicData>
            </a:graphic>
          </wp:inline>
        </w:drawing>
      </w:r>
      <w:r w:rsidR="00D91B89">
        <w:rPr>
          <w:noProof/>
          <w:lang w:val="en-US" w:eastAsia="ja-JP"/>
        </w:rPr>
        <w:drawing>
          <wp:inline distT="0" distB="0" distL="0" distR="0" wp14:anchorId="06F88BDA">
            <wp:extent cx="2714041" cy="23652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8361" cy="2369057"/>
                    </a:xfrm>
                    <a:prstGeom prst="rect">
                      <a:avLst/>
                    </a:prstGeom>
                    <a:noFill/>
                  </pic:spPr>
                </pic:pic>
              </a:graphicData>
            </a:graphic>
          </wp:inline>
        </w:drawing>
      </w:r>
    </w:p>
    <w:p w:rsidR="00BB0EB2" w:rsidRDefault="00847369" w:rsidP="00847369">
      <w:pPr>
        <w:pStyle w:val="Caption"/>
        <w:jc w:val="center"/>
      </w:pPr>
      <w:bookmarkStart w:id="1" w:name="_Ref481504624"/>
      <w:r>
        <w:t xml:space="preserve">Figure </w:t>
      </w:r>
      <w:fldSimple w:instr=" SEQ Figure \* ARABIC ">
        <w:r w:rsidR="000D5485">
          <w:rPr>
            <w:noProof/>
          </w:rPr>
          <w:t>1</w:t>
        </w:r>
      </w:fldSimple>
      <w:bookmarkEnd w:id="1"/>
      <w:r w:rsidR="003D6F14">
        <w:t xml:space="preserve">. </w:t>
      </w:r>
      <w:r w:rsidR="00D91B89">
        <w:t>2x2</w:t>
      </w:r>
      <w:r w:rsidR="003D1192">
        <w:t xml:space="preserve"> </w:t>
      </w:r>
      <w:r w:rsidR="006874C7">
        <w:t xml:space="preserve">patch antenna arrays </w:t>
      </w:r>
      <w:r w:rsidR="00D91B89">
        <w:t>in two different orientations.</w:t>
      </w:r>
      <w:r w:rsidR="008C2E6A">
        <w:br/>
      </w:r>
    </w:p>
    <w:p w:rsidR="008C2E6A" w:rsidRPr="008C2E6A" w:rsidRDefault="008C2E6A" w:rsidP="008C2E6A"/>
    <w:p w:rsidR="007D2C2B" w:rsidRDefault="008C2E6A" w:rsidP="00A20666">
      <w:pPr>
        <w:pStyle w:val="BodyText"/>
        <w:jc w:val="center"/>
      </w:pPr>
      <w:r>
        <w:rPr>
          <w:noProof/>
          <w:lang w:val="en-US" w:eastAsia="ja-JP"/>
        </w:rPr>
        <w:drawing>
          <wp:inline distT="0" distB="0" distL="0" distR="0" wp14:anchorId="51E5BB31">
            <wp:extent cx="5859075" cy="13199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0">
                      <a:extLst>
                        <a:ext uri="{28A0092B-C50C-407E-A947-70E740481C1C}">
                          <a14:useLocalDpi xmlns:a14="http://schemas.microsoft.com/office/drawing/2010/main" val="0"/>
                        </a:ext>
                      </a:extLst>
                    </a:blip>
                    <a:srcRect t="21369" b="21397"/>
                    <a:stretch/>
                  </pic:blipFill>
                  <pic:spPr bwMode="auto">
                    <a:xfrm>
                      <a:off x="0" y="0"/>
                      <a:ext cx="5893726" cy="1327722"/>
                    </a:xfrm>
                    <a:prstGeom prst="rect">
                      <a:avLst/>
                    </a:prstGeom>
                    <a:noFill/>
                    <a:ln>
                      <a:noFill/>
                    </a:ln>
                    <a:extLst>
                      <a:ext uri="{53640926-AAD7-44D8-BBD7-CCE9431645EC}">
                        <a14:shadowObscured xmlns:a14="http://schemas.microsoft.com/office/drawing/2010/main"/>
                      </a:ext>
                    </a:extLst>
                  </pic:spPr>
                </pic:pic>
              </a:graphicData>
            </a:graphic>
          </wp:inline>
        </w:drawing>
      </w:r>
    </w:p>
    <w:p w:rsidR="000D5485" w:rsidRDefault="000D5485" w:rsidP="000D5485">
      <w:pPr>
        <w:pStyle w:val="Caption"/>
        <w:jc w:val="center"/>
      </w:pPr>
      <w:bookmarkStart w:id="2" w:name="_Ref492657927"/>
      <w:r>
        <w:t xml:space="preserve">Figure </w:t>
      </w:r>
      <w:fldSimple w:instr=" SEQ Figure \* ARABIC ">
        <w:r>
          <w:rPr>
            <w:noProof/>
          </w:rPr>
          <w:t>2</w:t>
        </w:r>
      </w:fldSimple>
      <w:bookmarkEnd w:id="2"/>
      <w:r>
        <w:t>. Scan pattern for a 2x2 patch antenna arrays in two different orientations.</w:t>
      </w:r>
    </w:p>
    <w:p w:rsidR="00704F3F" w:rsidRDefault="00CC6857" w:rsidP="007D2C2B">
      <w:pPr>
        <w:pStyle w:val="BodyText"/>
      </w:pPr>
      <w:r>
        <w:rPr>
          <w:noProof/>
          <w:lang w:val="en-US" w:eastAsia="ja-JP"/>
        </w:rPr>
        <w:lastRenderedPageBreak/>
        <w:drawing>
          <wp:inline distT="0" distB="0" distL="0" distR="0" wp14:anchorId="4DC1DCC0">
            <wp:extent cx="6326809" cy="30192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434" cy="3022850"/>
                    </a:xfrm>
                    <a:prstGeom prst="rect">
                      <a:avLst/>
                    </a:prstGeom>
                    <a:noFill/>
                  </pic:spPr>
                </pic:pic>
              </a:graphicData>
            </a:graphic>
          </wp:inline>
        </w:drawing>
      </w:r>
    </w:p>
    <w:p w:rsidR="00205D33" w:rsidRDefault="00205D33" w:rsidP="00205D33">
      <w:pPr>
        <w:pStyle w:val="Caption"/>
      </w:pPr>
    </w:p>
    <w:p w:rsidR="00697C3A" w:rsidRDefault="00205D33" w:rsidP="00205D33">
      <w:pPr>
        <w:pStyle w:val="Caption"/>
        <w:jc w:val="center"/>
      </w:pPr>
      <w:bookmarkStart w:id="3" w:name="_Ref492652001"/>
      <w:r>
        <w:t xml:space="preserve">Figure </w:t>
      </w:r>
      <w:fldSimple w:instr=" SEQ Figure \* ARABIC ">
        <w:r w:rsidR="000D5485">
          <w:rPr>
            <w:noProof/>
          </w:rPr>
          <w:t>3</w:t>
        </w:r>
      </w:fldSimple>
      <w:bookmarkEnd w:id="3"/>
      <w:r>
        <w:t>. Array gain of a 2x2 patch matrix oriented in xz versus xy plane</w:t>
      </w:r>
    </w:p>
    <w:p w:rsidR="00CC6857" w:rsidRDefault="006F7FC4" w:rsidP="006F7FC4">
      <w:pPr>
        <w:pStyle w:val="Heading1"/>
        <w:keepLines/>
        <w:pBdr>
          <w:top w:val="single" w:sz="12" w:space="3" w:color="auto"/>
        </w:pBdr>
        <w:overflowPunct w:val="0"/>
        <w:autoSpaceDE w:val="0"/>
        <w:autoSpaceDN w:val="0"/>
        <w:adjustRightInd w:val="0"/>
        <w:spacing w:after="180"/>
        <w:ind w:right="0"/>
        <w:textAlignment w:val="baseline"/>
      </w:pPr>
      <w:r>
        <w:t>Discussion</w:t>
      </w:r>
    </w:p>
    <w:p w:rsidR="006F2DFE" w:rsidRDefault="006F7FC4" w:rsidP="00C75E19">
      <w:pPr>
        <w:pStyle w:val="BodyText"/>
      </w:pPr>
      <w:r>
        <w:t xml:space="preserve">The sampling grid resolution has been discussed previously in </w:t>
      </w:r>
      <w:r>
        <w:fldChar w:fldCharType="begin"/>
      </w:r>
      <w:r>
        <w:instrText xml:space="preserve"> REF _Ref492653581 \r \h </w:instrText>
      </w:r>
      <w:r>
        <w:fldChar w:fldCharType="separate"/>
      </w:r>
      <w:r>
        <w:t>[9]</w:t>
      </w:r>
      <w:r>
        <w:fldChar w:fldCharType="end"/>
      </w:r>
      <w:r w:rsidR="00E94CDE">
        <w:t xml:space="preserve">, </w:t>
      </w:r>
      <w:r w:rsidR="00E94CDE">
        <w:fldChar w:fldCharType="begin"/>
      </w:r>
      <w:r w:rsidR="00E94CDE">
        <w:instrText xml:space="preserve"> REF _Ref492656075 \r \h </w:instrText>
      </w:r>
      <w:r w:rsidR="00E94CDE">
        <w:fldChar w:fldCharType="separate"/>
      </w:r>
      <w:r w:rsidR="00E94CDE">
        <w:t>[10]</w:t>
      </w:r>
      <w:r w:rsidR="00E94CDE">
        <w:fldChar w:fldCharType="end"/>
      </w:r>
      <w:r w:rsidR="00E94CDE">
        <w:t xml:space="preserve">, and </w:t>
      </w:r>
      <w:r w:rsidR="00E94CDE">
        <w:fldChar w:fldCharType="begin"/>
      </w:r>
      <w:r w:rsidR="00E94CDE">
        <w:instrText xml:space="preserve"> REF _Ref492656078 \r \h </w:instrText>
      </w:r>
      <w:r w:rsidR="00E94CDE">
        <w:fldChar w:fldCharType="separate"/>
      </w:r>
      <w:r w:rsidR="00E94CDE">
        <w:t>[11]</w:t>
      </w:r>
      <w:r w:rsidR="00E94CDE">
        <w:fldChar w:fldCharType="end"/>
      </w:r>
      <w:r>
        <w:t xml:space="preserve"> where it was found that step size should not exceed 5 degrees</w:t>
      </w:r>
      <w:r w:rsidR="006F2DFE">
        <w:t xml:space="preserve"> for good accuracy</w:t>
      </w:r>
      <w:r>
        <w:t xml:space="preserve">. When doing the above described experiment for sparser sampling grid (in the order of 10 degree </w:t>
      </w:r>
      <w:r w:rsidR="00C75E19">
        <w:t xml:space="preserve">or larger </w:t>
      </w:r>
      <w:r>
        <w:t>step size) differences could be seen between different orientations. This</w:t>
      </w:r>
      <w:r w:rsidR="006F2DFE">
        <w:t xml:space="preserve"> has nothing to do with the solid angle approach but is rather </w:t>
      </w:r>
      <w:r>
        <w:t xml:space="preserve">due to the fact that </w:t>
      </w:r>
      <w:r w:rsidR="006F2DFE">
        <w:t>too big areas are sampled</w:t>
      </w:r>
      <w:r>
        <w:t>. For total scan pattern, which will apply to the EIRP requirement the effect is less signif</w:t>
      </w:r>
      <w:r w:rsidR="006F2DFE">
        <w:t>icant compared to a single beam since the errors in the former case are partly average out.</w:t>
      </w:r>
      <w:r>
        <w:t xml:space="preserve"> </w:t>
      </w:r>
    </w:p>
    <w:p w:rsidR="00CC6857" w:rsidRPr="00CC6857" w:rsidRDefault="006F7FC4" w:rsidP="00C75E19">
      <w:pPr>
        <w:pStyle w:val="BodyText"/>
      </w:pPr>
      <w:r>
        <w:t xml:space="preserve">For dynamic step methods, like the one described in </w:t>
      </w:r>
      <w:r>
        <w:fldChar w:fldCharType="begin"/>
      </w:r>
      <w:r>
        <w:instrText xml:space="preserve"> REF _Ref492632300 \r \h </w:instrText>
      </w:r>
      <w:r>
        <w:fldChar w:fldCharType="separate"/>
      </w:r>
      <w:r>
        <w:t>[1]</w:t>
      </w:r>
      <w:r>
        <w:fldChar w:fldCharType="end"/>
      </w:r>
      <w:r>
        <w:t xml:space="preserve"> the number of sampling points could probably be reduced and still maintaining good resolution, however, those methods has to be verified against the </w:t>
      </w:r>
      <w:r w:rsidRPr="006F7FC4">
        <w:t>widely recognized</w:t>
      </w:r>
      <w:r>
        <w:t xml:space="preserve"> approaches. For simulation purposes where the number of sampling points usually isn’t an issue the choice of method has less significance, as long as the </w:t>
      </w:r>
      <w:r w:rsidR="00A20666">
        <w:t>method</w:t>
      </w:r>
      <w:r>
        <w:t xml:space="preserve"> is </w:t>
      </w:r>
      <w:r w:rsidR="00C75E19">
        <w:t>proven correct</w:t>
      </w:r>
      <w:r>
        <w:t>.</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Pr="00537B8D" w:rsidRDefault="00537B8D" w:rsidP="002548F6">
      <w:pPr>
        <w:pStyle w:val="BodyText"/>
        <w:spacing w:before="120"/>
      </w:pPr>
      <w:r>
        <w:rPr>
          <w:lang w:val="en-US"/>
        </w:rPr>
        <w:t xml:space="preserve">In this document we have made an experiment of different antenna orientations using the </w:t>
      </w:r>
      <w:r w:rsidRPr="006F7FC4">
        <w:t>widely recognized</w:t>
      </w:r>
      <w:r>
        <w:t xml:space="preserve"> </w:t>
      </w:r>
      <w:r w:rsidRPr="00537B8D">
        <w:t>solid angle dΩ = sin</w:t>
      </w:r>
      <w:r w:rsidRPr="00537B8D">
        <w:sym w:font="Symbol" w:char="F071"/>
      </w:r>
      <w:r w:rsidRPr="00537B8D">
        <w:t xml:space="preserve"> d</w:t>
      </w:r>
      <w:r w:rsidRPr="00537B8D">
        <w:sym w:font="Symbol" w:char="F071"/>
      </w:r>
      <w:r w:rsidRPr="00537B8D">
        <w:t xml:space="preserve"> d</w:t>
      </w:r>
      <w:r w:rsidRPr="00537B8D">
        <w:sym w:font="Symbol" w:char="F06A"/>
      </w:r>
      <w:r w:rsidRPr="00537B8D">
        <w:t xml:space="preserve"> sweep</w:t>
      </w:r>
      <w:r>
        <w:t>. We have made the following observation and proposal:</w:t>
      </w:r>
    </w:p>
    <w:p w:rsidR="00537B8D" w:rsidRDefault="00537B8D" w:rsidP="00537B8D">
      <w:pPr>
        <w:pStyle w:val="BodyText"/>
        <w:ind w:left="1418" w:hanging="1418"/>
        <w:rPr>
          <w:b/>
          <w:lang w:val="en-US"/>
        </w:rPr>
      </w:pPr>
      <w:r w:rsidRPr="00CC6857">
        <w:rPr>
          <w:b/>
        </w:rPr>
        <w:t xml:space="preserve">Observation 1. </w:t>
      </w:r>
      <w:r>
        <w:rPr>
          <w:b/>
        </w:rPr>
        <w:tab/>
      </w:r>
      <w:r w:rsidRPr="00CC6857">
        <w:rPr>
          <w:b/>
        </w:rPr>
        <w:t xml:space="preserve">There is no difference in CDF result depending on antenna array orientation when using </w:t>
      </w:r>
      <w:r w:rsidRPr="00CC6857">
        <w:rPr>
          <w:b/>
          <w:lang w:val="en-US"/>
        </w:rPr>
        <w:t>solid angle dΩ = sin</w:t>
      </w:r>
      <w:r w:rsidRPr="00CC6857">
        <w:rPr>
          <w:b/>
          <w:lang w:val="en-US"/>
        </w:rPr>
        <w:sym w:font="Symbol" w:char="F071"/>
      </w:r>
      <w:r w:rsidRPr="00CC6857">
        <w:rPr>
          <w:b/>
          <w:lang w:val="en-US"/>
        </w:rPr>
        <w:t xml:space="preserve"> d</w:t>
      </w:r>
      <w:r w:rsidRPr="00CC6857">
        <w:rPr>
          <w:b/>
          <w:lang w:val="en-US"/>
        </w:rPr>
        <w:sym w:font="Symbol" w:char="F071"/>
      </w:r>
      <w:r w:rsidRPr="00CC6857">
        <w:rPr>
          <w:b/>
          <w:lang w:val="en-US"/>
        </w:rPr>
        <w:t xml:space="preserve"> d</w:t>
      </w:r>
      <w:r w:rsidRPr="00CC6857">
        <w:rPr>
          <w:b/>
          <w:lang w:val="en-US"/>
        </w:rPr>
        <w:sym w:font="Symbol" w:char="F06A"/>
      </w:r>
      <w:r w:rsidRPr="00CC6857">
        <w:rPr>
          <w:b/>
          <w:lang w:val="en-US"/>
        </w:rPr>
        <w:t xml:space="preserve"> sweep.</w:t>
      </w:r>
    </w:p>
    <w:p w:rsidR="007C7DD4" w:rsidRPr="00537B8D" w:rsidRDefault="00537B8D" w:rsidP="00537B8D">
      <w:pPr>
        <w:pStyle w:val="BodyText"/>
        <w:ind w:left="1418" w:hanging="1418"/>
        <w:rPr>
          <w:b/>
          <w:lang w:val="en-US"/>
        </w:rPr>
      </w:pPr>
      <w:r w:rsidRPr="00537B8D">
        <w:rPr>
          <w:b/>
        </w:rPr>
        <w:t>Proposal</w:t>
      </w:r>
      <w:r>
        <w:rPr>
          <w:b/>
          <w:lang w:val="en-US"/>
        </w:rPr>
        <w:t xml:space="preserve"> 1. </w:t>
      </w:r>
      <w:r>
        <w:rPr>
          <w:b/>
          <w:lang w:val="en-US"/>
        </w:rPr>
        <w:tab/>
        <w:t>The CDF shall be simulated and measured in a widely recognized way, such as solid angle, or a method verified against a widely recognized way.</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E67042" w:rsidRPr="003758E6" w:rsidRDefault="003758E6" w:rsidP="003758E6">
      <w:pPr>
        <w:pStyle w:val="references"/>
        <w:numPr>
          <w:ilvl w:val="0"/>
          <w:numId w:val="7"/>
        </w:numPr>
        <w:tabs>
          <w:tab w:val="left" w:pos="1560"/>
        </w:tabs>
      </w:pPr>
      <w:bookmarkStart w:id="4" w:name="_Ref492632300"/>
      <w:bookmarkStart w:id="5" w:name="_Ref484009661"/>
      <w:bookmarkStart w:id="6" w:name="_Ref447703865"/>
      <w:bookmarkStart w:id="7" w:name="_Ref455046197"/>
      <w:bookmarkStart w:id="8" w:name="_Ref473734040"/>
      <w:bookmarkStart w:id="9" w:name="_Ref481653652"/>
      <w:bookmarkStart w:id="10" w:name="_Ref447634836"/>
      <w:bookmarkStart w:id="11" w:name="_Ref447633816"/>
      <w:r w:rsidRPr="003758E6">
        <w:t>R4-1700100</w:t>
      </w:r>
      <w:r>
        <w:tab/>
        <w:t>“</w:t>
      </w:r>
      <w:r w:rsidRPr="003758E6">
        <w:t>Using CDF to define EIRP and EIS</w:t>
      </w:r>
      <w:r>
        <w:t xml:space="preserve">”, </w:t>
      </w:r>
      <w:r w:rsidRPr="003758E6">
        <w:rPr>
          <w:i/>
        </w:rPr>
        <w:t>Qualcomm Incorporated</w:t>
      </w:r>
      <w:bookmarkEnd w:id="4"/>
    </w:p>
    <w:p w:rsidR="003758E6" w:rsidRDefault="00CE4035" w:rsidP="00CE4035">
      <w:pPr>
        <w:pStyle w:val="references"/>
        <w:numPr>
          <w:ilvl w:val="0"/>
          <w:numId w:val="7"/>
        </w:numPr>
        <w:tabs>
          <w:tab w:val="left" w:pos="1560"/>
        </w:tabs>
      </w:pPr>
      <w:bookmarkStart w:id="12" w:name="_Ref492632309"/>
      <w:r w:rsidRPr="00CE4035">
        <w:t>R4-1700095</w:t>
      </w:r>
      <w:r>
        <w:tab/>
        <w:t>“</w:t>
      </w:r>
      <w:r w:rsidRPr="00CE4035">
        <w:t>Discussion of mmWave UE EIRP and EIS test</w:t>
      </w:r>
      <w:r>
        <w:t xml:space="preserve">”, </w:t>
      </w:r>
      <w:r w:rsidRPr="00CE4035">
        <w:rPr>
          <w:i/>
        </w:rPr>
        <w:t>Huawei, HiSilicon</w:t>
      </w:r>
      <w:bookmarkEnd w:id="12"/>
    </w:p>
    <w:p w:rsidR="003758E6" w:rsidRPr="00A361E4" w:rsidRDefault="000F142D" w:rsidP="000F142D">
      <w:pPr>
        <w:pStyle w:val="references"/>
        <w:numPr>
          <w:ilvl w:val="0"/>
          <w:numId w:val="7"/>
        </w:numPr>
        <w:tabs>
          <w:tab w:val="left" w:pos="1560"/>
        </w:tabs>
      </w:pPr>
      <w:bookmarkStart w:id="13" w:name="_Ref492641144"/>
      <w:bookmarkStart w:id="14" w:name="_Ref492566024"/>
      <w:r w:rsidRPr="000F142D">
        <w:t xml:space="preserve">R4-1701335 </w:t>
      </w:r>
      <w:r>
        <w:tab/>
        <w:t>“</w:t>
      </w:r>
      <w:r w:rsidRPr="000F142D">
        <w:t>On CDF test point placement on sphere surface</w:t>
      </w:r>
      <w:r>
        <w:t xml:space="preserve">”, </w:t>
      </w:r>
      <w:r w:rsidRPr="00CE4035">
        <w:rPr>
          <w:i/>
        </w:rPr>
        <w:t>Huawei, HiSilicon</w:t>
      </w:r>
      <w:bookmarkEnd w:id="13"/>
    </w:p>
    <w:p w:rsidR="00A361E4" w:rsidRDefault="00A361E4" w:rsidP="00A361E4">
      <w:pPr>
        <w:pStyle w:val="references"/>
        <w:numPr>
          <w:ilvl w:val="0"/>
          <w:numId w:val="7"/>
        </w:numPr>
        <w:tabs>
          <w:tab w:val="left" w:pos="1560"/>
        </w:tabs>
      </w:pPr>
      <w:bookmarkStart w:id="15" w:name="_Ref492641149"/>
      <w:r w:rsidRPr="00A361E4">
        <w:t>R4-1707816</w:t>
      </w:r>
      <w:r>
        <w:tab/>
        <w:t>“</w:t>
      </w:r>
      <w:r w:rsidRPr="00A361E4">
        <w:t>On mmW UE EIRP CDF</w:t>
      </w:r>
      <w:r>
        <w:t xml:space="preserve">”, </w:t>
      </w:r>
      <w:r w:rsidRPr="00A361E4">
        <w:rPr>
          <w:i/>
        </w:rPr>
        <w:t>MediaTek Inc.</w:t>
      </w:r>
      <w:bookmarkEnd w:id="15"/>
    </w:p>
    <w:p w:rsidR="003758E6" w:rsidRPr="00A361E4" w:rsidRDefault="00213037" w:rsidP="00213037">
      <w:pPr>
        <w:pStyle w:val="references"/>
        <w:numPr>
          <w:ilvl w:val="0"/>
          <w:numId w:val="7"/>
        </w:numPr>
        <w:tabs>
          <w:tab w:val="left" w:pos="1560"/>
        </w:tabs>
      </w:pPr>
      <w:bookmarkStart w:id="16" w:name="_Ref492632366"/>
      <w:r w:rsidRPr="00213037">
        <w:rPr>
          <w:lang w:val="en-GB"/>
        </w:rPr>
        <w:t>R4-1700264</w:t>
      </w:r>
      <w:r>
        <w:rPr>
          <w:lang w:val="en-GB"/>
        </w:rPr>
        <w:tab/>
        <w:t>“</w:t>
      </w:r>
      <w:r w:rsidRPr="00213037">
        <w:rPr>
          <w:lang w:val="en-GB"/>
        </w:rPr>
        <w:t>WF on UE RF</w:t>
      </w:r>
      <w:r>
        <w:rPr>
          <w:lang w:val="en-GB"/>
        </w:rPr>
        <w:t xml:space="preserve">”, </w:t>
      </w:r>
      <w:r w:rsidRPr="00213037">
        <w:rPr>
          <w:i/>
          <w:lang w:val="en-GB"/>
        </w:rPr>
        <w:t>Qualcomm</w:t>
      </w:r>
      <w:bookmarkEnd w:id="16"/>
    </w:p>
    <w:p w:rsidR="00A361E4" w:rsidRDefault="00A361E4" w:rsidP="00A361E4">
      <w:pPr>
        <w:pStyle w:val="references"/>
        <w:numPr>
          <w:ilvl w:val="0"/>
          <w:numId w:val="7"/>
        </w:numPr>
        <w:tabs>
          <w:tab w:val="left" w:pos="1560"/>
        </w:tabs>
      </w:pPr>
      <w:bookmarkStart w:id="17" w:name="_Ref492641341"/>
      <w:r w:rsidRPr="00A361E4">
        <w:rPr>
          <w:lang w:val="en-GB"/>
        </w:rPr>
        <w:t>R4-1702371</w:t>
      </w:r>
      <w:r>
        <w:rPr>
          <w:lang w:val="en-GB"/>
        </w:rPr>
        <w:tab/>
        <w:t>“</w:t>
      </w:r>
      <w:r w:rsidRPr="00A361E4">
        <w:rPr>
          <w:lang w:val="en-GB"/>
        </w:rPr>
        <w:t>Way Forward on UE RF Requirements</w:t>
      </w:r>
      <w:r>
        <w:rPr>
          <w:lang w:val="en-GB"/>
        </w:rPr>
        <w:t xml:space="preserve">”, </w:t>
      </w:r>
      <w:r w:rsidRPr="00A361E4">
        <w:rPr>
          <w:i/>
          <w:lang w:val="en-GB"/>
        </w:rPr>
        <w:t>Qualcomm Incorporated, Ericsson, Intel</w:t>
      </w:r>
      <w:bookmarkEnd w:id="17"/>
    </w:p>
    <w:p w:rsidR="003758E6" w:rsidRDefault="001B2AFE" w:rsidP="00A76B73">
      <w:pPr>
        <w:pStyle w:val="references"/>
        <w:numPr>
          <w:ilvl w:val="0"/>
          <w:numId w:val="7"/>
        </w:numPr>
        <w:tabs>
          <w:tab w:val="left" w:pos="1560"/>
        </w:tabs>
        <w:jc w:val="left"/>
      </w:pPr>
      <w:r w:rsidRPr="001B2AFE">
        <w:rPr>
          <w:lang w:val="en-GB"/>
        </w:rPr>
        <w:t>R4-1700284</w:t>
      </w:r>
      <w:r>
        <w:rPr>
          <w:lang w:val="en-GB"/>
        </w:rPr>
        <w:tab/>
        <w:t>“</w:t>
      </w:r>
      <w:r w:rsidRPr="001B2AFE">
        <w:rPr>
          <w:lang w:val="en-GB"/>
        </w:rPr>
        <w:t>Way forward on coordinate system for NR</w:t>
      </w:r>
      <w:r w:rsidR="00A76B73">
        <w:rPr>
          <w:lang w:val="en-GB"/>
        </w:rPr>
        <w:t xml:space="preserve">”, </w:t>
      </w:r>
      <w:r w:rsidR="00A76B73" w:rsidRPr="00A76B73">
        <w:rPr>
          <w:i/>
          <w:lang w:val="en-GB"/>
        </w:rPr>
        <w:t>NEC</w:t>
      </w:r>
    </w:p>
    <w:p w:rsidR="003758E6" w:rsidRDefault="00A76B73" w:rsidP="00A76B73">
      <w:pPr>
        <w:pStyle w:val="references"/>
        <w:numPr>
          <w:ilvl w:val="0"/>
          <w:numId w:val="7"/>
        </w:numPr>
        <w:tabs>
          <w:tab w:val="left" w:pos="1560"/>
        </w:tabs>
      </w:pPr>
      <w:r w:rsidRPr="00A76B73">
        <w:t>3GPP TR 37.977</w:t>
      </w:r>
    </w:p>
    <w:p w:rsidR="006F7FC4" w:rsidRDefault="006F7FC4" w:rsidP="006F7FC4">
      <w:pPr>
        <w:pStyle w:val="references"/>
        <w:numPr>
          <w:ilvl w:val="0"/>
          <w:numId w:val="7"/>
        </w:numPr>
        <w:tabs>
          <w:tab w:val="left" w:pos="1560"/>
        </w:tabs>
      </w:pPr>
      <w:bookmarkStart w:id="18" w:name="_Ref492653581"/>
      <w:r w:rsidRPr="006D300F">
        <w:t>R4-1707315</w:t>
      </w:r>
      <w:r>
        <w:tab/>
        <w:t>“</w:t>
      </w:r>
      <w:r w:rsidRPr="006D300F">
        <w:t>On UE EiRP measurements grid at &gt; 6 GHz</w:t>
      </w:r>
      <w:r>
        <w:t xml:space="preserve">”, </w:t>
      </w:r>
      <w:r w:rsidRPr="006D300F">
        <w:rPr>
          <w:i/>
          <w:lang w:val="en-GB"/>
        </w:rPr>
        <w:t>Sony Mobile</w:t>
      </w:r>
      <w:bookmarkEnd w:id="18"/>
    </w:p>
    <w:p w:rsidR="00E94CDE" w:rsidRDefault="00E94CDE" w:rsidP="00E94CDE">
      <w:pPr>
        <w:pStyle w:val="references"/>
        <w:numPr>
          <w:ilvl w:val="0"/>
          <w:numId w:val="7"/>
        </w:numPr>
        <w:tabs>
          <w:tab w:val="left" w:pos="1560"/>
        </w:tabs>
      </w:pPr>
      <w:bookmarkStart w:id="19" w:name="_Ref492656075"/>
      <w:r>
        <w:lastRenderedPageBreak/>
        <w:t>R4-1703704</w:t>
      </w:r>
      <w:r>
        <w:tab/>
        <w:t xml:space="preserve">“On TRP measurements spatial resolution for UE´s &gt;6GHz”, </w:t>
      </w:r>
      <w:r w:rsidRPr="006D300F">
        <w:rPr>
          <w:i/>
          <w:lang w:val="en-GB"/>
        </w:rPr>
        <w:t>Sony Mobile</w:t>
      </w:r>
      <w:bookmarkEnd w:id="19"/>
    </w:p>
    <w:p w:rsidR="00BC6DD0" w:rsidRDefault="00E94CDE" w:rsidP="000D5485">
      <w:pPr>
        <w:pStyle w:val="references"/>
        <w:numPr>
          <w:ilvl w:val="0"/>
          <w:numId w:val="7"/>
        </w:numPr>
        <w:tabs>
          <w:tab w:val="left" w:pos="1560"/>
        </w:tabs>
      </w:pPr>
      <w:bookmarkStart w:id="20" w:name="_Ref492656078"/>
      <w:r>
        <w:t>R4-1705819</w:t>
      </w:r>
      <w:r>
        <w:tab/>
        <w:t xml:space="preserve">“On TRP measurement sampling grid at &gt;6GHz”, </w:t>
      </w:r>
      <w:r w:rsidRPr="00E94CDE">
        <w:rPr>
          <w:i/>
        </w:rPr>
        <w:t>MVG Industries, Sony Mobile</w:t>
      </w:r>
      <w:bookmarkEnd w:id="5"/>
      <w:bookmarkEnd w:id="6"/>
      <w:bookmarkEnd w:id="7"/>
      <w:bookmarkEnd w:id="8"/>
      <w:bookmarkEnd w:id="9"/>
      <w:bookmarkEnd w:id="10"/>
      <w:bookmarkEnd w:id="11"/>
      <w:bookmarkEnd w:id="14"/>
      <w:bookmarkEnd w:id="20"/>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CDC" w:rsidRDefault="008C0CDC">
      <w:r>
        <w:separator/>
      </w:r>
    </w:p>
  </w:endnote>
  <w:endnote w:type="continuationSeparator" w:id="0">
    <w:p w:rsidR="008C0CDC" w:rsidRDefault="008C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eiryo UI">
    <w:panose1 w:val="020B0604030504040204"/>
    <w:charset w:val="80"/>
    <w:family w:val="swiss"/>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CDC" w:rsidRDefault="008C0CDC">
      <w:r>
        <w:separator/>
      </w:r>
    </w:p>
  </w:footnote>
  <w:footnote w:type="continuationSeparator" w:id="0">
    <w:p w:rsidR="008C0CDC" w:rsidRDefault="008C0C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73592A"/>
    <w:multiLevelType w:val="hybridMultilevel"/>
    <w:tmpl w:val="ED988054"/>
    <w:lvl w:ilvl="0" w:tplc="B9941608">
      <w:start w:val="1"/>
      <w:numFmt w:val="bullet"/>
      <w:lvlText w:val="•"/>
      <w:lvlJc w:val="left"/>
      <w:pPr>
        <w:tabs>
          <w:tab w:val="num" w:pos="306"/>
        </w:tabs>
        <w:ind w:left="306" w:hanging="360"/>
      </w:pPr>
      <w:rPr>
        <w:rFonts w:ascii="Arial" w:hAnsi="Arial" w:hint="default"/>
      </w:rPr>
    </w:lvl>
    <w:lvl w:ilvl="1" w:tplc="81205036">
      <w:start w:val="51"/>
      <w:numFmt w:val="bullet"/>
      <w:lvlText w:val="–"/>
      <w:lvlJc w:val="left"/>
      <w:pPr>
        <w:tabs>
          <w:tab w:val="num" w:pos="1026"/>
        </w:tabs>
        <w:ind w:left="1026" w:hanging="360"/>
      </w:pPr>
      <w:rPr>
        <w:rFonts w:ascii="Arial" w:hAnsi="Arial" w:hint="default"/>
      </w:rPr>
    </w:lvl>
    <w:lvl w:ilvl="2" w:tplc="9BAC87E6">
      <w:start w:val="51"/>
      <w:numFmt w:val="bullet"/>
      <w:lvlText w:val="•"/>
      <w:lvlJc w:val="left"/>
      <w:pPr>
        <w:tabs>
          <w:tab w:val="num" w:pos="1746"/>
        </w:tabs>
        <w:ind w:left="1746" w:hanging="360"/>
      </w:pPr>
      <w:rPr>
        <w:rFonts w:ascii="Arial" w:hAnsi="Arial" w:hint="default"/>
      </w:rPr>
    </w:lvl>
    <w:lvl w:ilvl="3" w:tplc="E7B21A28" w:tentative="1">
      <w:start w:val="1"/>
      <w:numFmt w:val="bullet"/>
      <w:lvlText w:val="•"/>
      <w:lvlJc w:val="left"/>
      <w:pPr>
        <w:tabs>
          <w:tab w:val="num" w:pos="2466"/>
        </w:tabs>
        <w:ind w:left="2466" w:hanging="360"/>
      </w:pPr>
      <w:rPr>
        <w:rFonts w:ascii="Arial" w:hAnsi="Arial" w:hint="default"/>
      </w:rPr>
    </w:lvl>
    <w:lvl w:ilvl="4" w:tplc="EDB6EA1C" w:tentative="1">
      <w:start w:val="1"/>
      <w:numFmt w:val="bullet"/>
      <w:lvlText w:val="•"/>
      <w:lvlJc w:val="left"/>
      <w:pPr>
        <w:tabs>
          <w:tab w:val="num" w:pos="3186"/>
        </w:tabs>
        <w:ind w:left="3186" w:hanging="360"/>
      </w:pPr>
      <w:rPr>
        <w:rFonts w:ascii="Arial" w:hAnsi="Arial" w:hint="default"/>
      </w:rPr>
    </w:lvl>
    <w:lvl w:ilvl="5" w:tplc="E4D6A72A" w:tentative="1">
      <w:start w:val="1"/>
      <w:numFmt w:val="bullet"/>
      <w:lvlText w:val="•"/>
      <w:lvlJc w:val="left"/>
      <w:pPr>
        <w:tabs>
          <w:tab w:val="num" w:pos="3906"/>
        </w:tabs>
        <w:ind w:left="3906" w:hanging="360"/>
      </w:pPr>
      <w:rPr>
        <w:rFonts w:ascii="Arial" w:hAnsi="Arial" w:hint="default"/>
      </w:rPr>
    </w:lvl>
    <w:lvl w:ilvl="6" w:tplc="A4608C02" w:tentative="1">
      <w:start w:val="1"/>
      <w:numFmt w:val="bullet"/>
      <w:lvlText w:val="•"/>
      <w:lvlJc w:val="left"/>
      <w:pPr>
        <w:tabs>
          <w:tab w:val="num" w:pos="4626"/>
        </w:tabs>
        <w:ind w:left="4626" w:hanging="360"/>
      </w:pPr>
      <w:rPr>
        <w:rFonts w:ascii="Arial" w:hAnsi="Arial" w:hint="default"/>
      </w:rPr>
    </w:lvl>
    <w:lvl w:ilvl="7" w:tplc="BD90EE20" w:tentative="1">
      <w:start w:val="1"/>
      <w:numFmt w:val="bullet"/>
      <w:lvlText w:val="•"/>
      <w:lvlJc w:val="left"/>
      <w:pPr>
        <w:tabs>
          <w:tab w:val="num" w:pos="5346"/>
        </w:tabs>
        <w:ind w:left="5346" w:hanging="360"/>
      </w:pPr>
      <w:rPr>
        <w:rFonts w:ascii="Arial" w:hAnsi="Arial" w:hint="default"/>
      </w:rPr>
    </w:lvl>
    <w:lvl w:ilvl="8" w:tplc="F8D8160A" w:tentative="1">
      <w:start w:val="1"/>
      <w:numFmt w:val="bullet"/>
      <w:lvlText w:val="•"/>
      <w:lvlJc w:val="left"/>
      <w:pPr>
        <w:tabs>
          <w:tab w:val="num" w:pos="6066"/>
        </w:tabs>
        <w:ind w:left="6066"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64075"/>
    <w:multiLevelType w:val="hybridMultilevel"/>
    <w:tmpl w:val="150492A2"/>
    <w:lvl w:ilvl="0" w:tplc="F7CA8F50">
      <w:start w:val="1"/>
      <w:numFmt w:val="bullet"/>
      <w:lvlText w:val="•"/>
      <w:lvlJc w:val="left"/>
      <w:pPr>
        <w:tabs>
          <w:tab w:val="num" w:pos="720"/>
        </w:tabs>
        <w:ind w:left="720" w:hanging="360"/>
      </w:pPr>
      <w:rPr>
        <w:rFonts w:ascii="Arial" w:hAnsi="Arial" w:hint="default"/>
      </w:rPr>
    </w:lvl>
    <w:lvl w:ilvl="1" w:tplc="77CE9000">
      <w:start w:val="51"/>
      <w:numFmt w:val="bullet"/>
      <w:lvlText w:val="•"/>
      <w:lvlJc w:val="left"/>
      <w:pPr>
        <w:tabs>
          <w:tab w:val="num" w:pos="1440"/>
        </w:tabs>
        <w:ind w:left="1440" w:hanging="360"/>
      </w:pPr>
      <w:rPr>
        <w:rFonts w:ascii="Arial" w:hAnsi="Arial" w:hint="default"/>
      </w:rPr>
    </w:lvl>
    <w:lvl w:ilvl="2" w:tplc="D464C1AA" w:tentative="1">
      <w:start w:val="1"/>
      <w:numFmt w:val="bullet"/>
      <w:lvlText w:val="•"/>
      <w:lvlJc w:val="left"/>
      <w:pPr>
        <w:tabs>
          <w:tab w:val="num" w:pos="2160"/>
        </w:tabs>
        <w:ind w:left="2160" w:hanging="360"/>
      </w:pPr>
      <w:rPr>
        <w:rFonts w:ascii="Arial" w:hAnsi="Arial" w:hint="default"/>
      </w:rPr>
    </w:lvl>
    <w:lvl w:ilvl="3" w:tplc="425A0580" w:tentative="1">
      <w:start w:val="1"/>
      <w:numFmt w:val="bullet"/>
      <w:lvlText w:val="•"/>
      <w:lvlJc w:val="left"/>
      <w:pPr>
        <w:tabs>
          <w:tab w:val="num" w:pos="2880"/>
        </w:tabs>
        <w:ind w:left="2880" w:hanging="360"/>
      </w:pPr>
      <w:rPr>
        <w:rFonts w:ascii="Arial" w:hAnsi="Arial" w:hint="default"/>
      </w:rPr>
    </w:lvl>
    <w:lvl w:ilvl="4" w:tplc="5248FB7E" w:tentative="1">
      <w:start w:val="1"/>
      <w:numFmt w:val="bullet"/>
      <w:lvlText w:val="•"/>
      <w:lvlJc w:val="left"/>
      <w:pPr>
        <w:tabs>
          <w:tab w:val="num" w:pos="3600"/>
        </w:tabs>
        <w:ind w:left="3600" w:hanging="360"/>
      </w:pPr>
      <w:rPr>
        <w:rFonts w:ascii="Arial" w:hAnsi="Arial" w:hint="default"/>
      </w:rPr>
    </w:lvl>
    <w:lvl w:ilvl="5" w:tplc="9D4A9BE4" w:tentative="1">
      <w:start w:val="1"/>
      <w:numFmt w:val="bullet"/>
      <w:lvlText w:val="•"/>
      <w:lvlJc w:val="left"/>
      <w:pPr>
        <w:tabs>
          <w:tab w:val="num" w:pos="4320"/>
        </w:tabs>
        <w:ind w:left="4320" w:hanging="360"/>
      </w:pPr>
      <w:rPr>
        <w:rFonts w:ascii="Arial" w:hAnsi="Arial" w:hint="default"/>
      </w:rPr>
    </w:lvl>
    <w:lvl w:ilvl="6" w:tplc="F7647772" w:tentative="1">
      <w:start w:val="1"/>
      <w:numFmt w:val="bullet"/>
      <w:lvlText w:val="•"/>
      <w:lvlJc w:val="left"/>
      <w:pPr>
        <w:tabs>
          <w:tab w:val="num" w:pos="5040"/>
        </w:tabs>
        <w:ind w:left="5040" w:hanging="360"/>
      </w:pPr>
      <w:rPr>
        <w:rFonts w:ascii="Arial" w:hAnsi="Arial" w:hint="default"/>
      </w:rPr>
    </w:lvl>
    <w:lvl w:ilvl="7" w:tplc="F60CCD76" w:tentative="1">
      <w:start w:val="1"/>
      <w:numFmt w:val="bullet"/>
      <w:lvlText w:val="•"/>
      <w:lvlJc w:val="left"/>
      <w:pPr>
        <w:tabs>
          <w:tab w:val="num" w:pos="5760"/>
        </w:tabs>
        <w:ind w:left="5760" w:hanging="360"/>
      </w:pPr>
      <w:rPr>
        <w:rFonts w:ascii="Arial" w:hAnsi="Arial" w:hint="default"/>
      </w:rPr>
    </w:lvl>
    <w:lvl w:ilvl="8" w:tplc="B27A9B8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7"/>
  </w:num>
  <w:num w:numId="5">
    <w:abstractNumId w:val="4"/>
  </w:num>
  <w:num w:numId="6">
    <w:abstractNumId w:val="17"/>
  </w:num>
  <w:num w:numId="7">
    <w:abstractNumId w:val="23"/>
  </w:num>
  <w:num w:numId="8">
    <w:abstractNumId w:val="1"/>
  </w:num>
  <w:num w:numId="9">
    <w:abstractNumId w:val="19"/>
  </w:num>
  <w:num w:numId="10">
    <w:abstractNumId w:val="15"/>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8"/>
  </w:num>
  <w:num w:numId="16">
    <w:abstractNumId w:val="11"/>
  </w:num>
  <w:num w:numId="17">
    <w:abstractNumId w:val="10"/>
  </w:num>
  <w:num w:numId="18">
    <w:abstractNumId w:val="1"/>
  </w:num>
  <w:num w:numId="19">
    <w:abstractNumId w:val="22"/>
  </w:num>
  <w:num w:numId="20">
    <w:abstractNumId w:val="5"/>
  </w:num>
  <w:num w:numId="21">
    <w:abstractNumId w:val="8"/>
  </w:num>
  <w:num w:numId="22">
    <w:abstractNumId w:val="14"/>
  </w:num>
  <w:num w:numId="23">
    <w:abstractNumId w:val="17"/>
  </w:num>
  <w:num w:numId="24">
    <w:abstractNumId w:val="21"/>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3"/>
  </w:num>
  <w:num w:numId="41">
    <w:abstractNumId w:val="25"/>
  </w:num>
  <w:num w:numId="42">
    <w:abstractNumId w:val="16"/>
  </w:num>
  <w:num w:numId="4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485"/>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42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2AFE"/>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5D33"/>
    <w:rsid w:val="0020617C"/>
    <w:rsid w:val="00206667"/>
    <w:rsid w:val="0020697E"/>
    <w:rsid w:val="00207A29"/>
    <w:rsid w:val="00207E0A"/>
    <w:rsid w:val="002106A5"/>
    <w:rsid w:val="00210AD7"/>
    <w:rsid w:val="00210BEA"/>
    <w:rsid w:val="002113BF"/>
    <w:rsid w:val="0021189D"/>
    <w:rsid w:val="00211E1B"/>
    <w:rsid w:val="00212000"/>
    <w:rsid w:val="00212459"/>
    <w:rsid w:val="00213037"/>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6E32"/>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8E6"/>
    <w:rsid w:val="00375955"/>
    <w:rsid w:val="003769BD"/>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270"/>
    <w:rsid w:val="00536A7F"/>
    <w:rsid w:val="00536BC6"/>
    <w:rsid w:val="005371B5"/>
    <w:rsid w:val="00537B8D"/>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2DFE"/>
    <w:rsid w:val="006F3640"/>
    <w:rsid w:val="006F3978"/>
    <w:rsid w:val="006F3C5F"/>
    <w:rsid w:val="006F4627"/>
    <w:rsid w:val="006F4DA4"/>
    <w:rsid w:val="006F4DFC"/>
    <w:rsid w:val="006F5979"/>
    <w:rsid w:val="006F6501"/>
    <w:rsid w:val="006F7961"/>
    <w:rsid w:val="006F7C2B"/>
    <w:rsid w:val="006F7FB9"/>
    <w:rsid w:val="006F7FC4"/>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5A40"/>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CDC"/>
    <w:rsid w:val="008C0EA3"/>
    <w:rsid w:val="008C1F3D"/>
    <w:rsid w:val="008C29B2"/>
    <w:rsid w:val="008C2A30"/>
    <w:rsid w:val="008C2E6A"/>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3DE6"/>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68F"/>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666"/>
    <w:rsid w:val="00A2078A"/>
    <w:rsid w:val="00A20DD0"/>
    <w:rsid w:val="00A20FA9"/>
    <w:rsid w:val="00A21D9C"/>
    <w:rsid w:val="00A2362D"/>
    <w:rsid w:val="00A236DE"/>
    <w:rsid w:val="00A23EE2"/>
    <w:rsid w:val="00A24D6F"/>
    <w:rsid w:val="00A24FD6"/>
    <w:rsid w:val="00A2501F"/>
    <w:rsid w:val="00A258F9"/>
    <w:rsid w:val="00A262E9"/>
    <w:rsid w:val="00A26BC8"/>
    <w:rsid w:val="00A26C11"/>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1E4"/>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6B73"/>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518"/>
    <w:rsid w:val="00A90F9A"/>
    <w:rsid w:val="00A90FD7"/>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E19"/>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49A1"/>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857"/>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035"/>
    <w:rsid w:val="00CE42ED"/>
    <w:rsid w:val="00CE4860"/>
    <w:rsid w:val="00CE4B8A"/>
    <w:rsid w:val="00CE4CCE"/>
    <w:rsid w:val="00CE562F"/>
    <w:rsid w:val="00CE5BB3"/>
    <w:rsid w:val="00CE5BBA"/>
    <w:rsid w:val="00CE65A1"/>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4F3"/>
    <w:rsid w:val="00D53806"/>
    <w:rsid w:val="00D53E40"/>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C4B"/>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89"/>
    <w:rsid w:val="00D91BB8"/>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BE8"/>
    <w:rsid w:val="00E10FBD"/>
    <w:rsid w:val="00E115E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CDE"/>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9E4"/>
    <w:rsid w:val="00F92C2A"/>
    <w:rsid w:val="00F92E90"/>
    <w:rsid w:val="00F93018"/>
    <w:rsid w:val="00F9323D"/>
    <w:rsid w:val="00F93D6F"/>
    <w:rsid w:val="00F942D2"/>
    <w:rsid w:val="00F94458"/>
    <w:rsid w:val="00F94DB3"/>
    <w:rsid w:val="00F94FD7"/>
    <w:rsid w:val="00F95253"/>
    <w:rsid w:val="00F95A3F"/>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64781712">
      <w:bodyDiv w:val="1"/>
      <w:marLeft w:val="0"/>
      <w:marRight w:val="0"/>
      <w:marTop w:val="0"/>
      <w:marBottom w:val="0"/>
      <w:divBdr>
        <w:top w:val="none" w:sz="0" w:space="0" w:color="auto"/>
        <w:left w:val="none" w:sz="0" w:space="0" w:color="auto"/>
        <w:bottom w:val="none" w:sz="0" w:space="0" w:color="auto"/>
        <w:right w:val="none" w:sz="0" w:space="0" w:color="auto"/>
      </w:divBdr>
      <w:divsChild>
        <w:div w:id="832527154">
          <w:marLeft w:val="547"/>
          <w:marRight w:val="0"/>
          <w:marTop w:val="77"/>
          <w:marBottom w:val="0"/>
          <w:divBdr>
            <w:top w:val="none" w:sz="0" w:space="0" w:color="auto"/>
            <w:left w:val="none" w:sz="0" w:space="0" w:color="auto"/>
            <w:bottom w:val="none" w:sz="0" w:space="0" w:color="auto"/>
            <w:right w:val="none" w:sz="0" w:space="0" w:color="auto"/>
          </w:divBdr>
        </w:div>
        <w:div w:id="151071628">
          <w:marLeft w:val="1166"/>
          <w:marRight w:val="0"/>
          <w:marTop w:val="96"/>
          <w:marBottom w:val="0"/>
          <w:divBdr>
            <w:top w:val="none" w:sz="0" w:space="0" w:color="auto"/>
            <w:left w:val="none" w:sz="0" w:space="0" w:color="auto"/>
            <w:bottom w:val="none" w:sz="0" w:space="0" w:color="auto"/>
            <w:right w:val="none" w:sz="0" w:space="0" w:color="auto"/>
          </w:divBdr>
        </w:div>
        <w:div w:id="258879195">
          <w:marLeft w:val="1800"/>
          <w:marRight w:val="0"/>
          <w:marTop w:val="67"/>
          <w:marBottom w:val="0"/>
          <w:divBdr>
            <w:top w:val="none" w:sz="0" w:space="0" w:color="auto"/>
            <w:left w:val="none" w:sz="0" w:space="0" w:color="auto"/>
            <w:bottom w:val="none" w:sz="0" w:space="0" w:color="auto"/>
            <w:right w:val="none" w:sz="0" w:space="0" w:color="auto"/>
          </w:divBdr>
        </w:div>
        <w:div w:id="185682653">
          <w:marLeft w:val="1800"/>
          <w:marRight w:val="0"/>
          <w:marTop w:val="67"/>
          <w:marBottom w:val="0"/>
          <w:divBdr>
            <w:top w:val="none" w:sz="0" w:space="0" w:color="auto"/>
            <w:left w:val="none" w:sz="0" w:space="0" w:color="auto"/>
            <w:bottom w:val="none" w:sz="0" w:space="0" w:color="auto"/>
            <w:right w:val="none" w:sz="0" w:space="0" w:color="auto"/>
          </w:divBdr>
        </w:div>
        <w:div w:id="531459351">
          <w:marLeft w:val="547"/>
          <w:marRight w:val="0"/>
          <w:marTop w:val="96"/>
          <w:marBottom w:val="0"/>
          <w:divBdr>
            <w:top w:val="none" w:sz="0" w:space="0" w:color="auto"/>
            <w:left w:val="none" w:sz="0" w:space="0" w:color="auto"/>
            <w:bottom w:val="none" w:sz="0" w:space="0" w:color="auto"/>
            <w:right w:val="none" w:sz="0" w:space="0" w:color="auto"/>
          </w:divBdr>
        </w:div>
        <w:div w:id="1123156715">
          <w:marLeft w:val="1166"/>
          <w:marRight w:val="0"/>
          <w:marTop w:val="77"/>
          <w:marBottom w:val="0"/>
          <w:divBdr>
            <w:top w:val="none" w:sz="0" w:space="0" w:color="auto"/>
            <w:left w:val="none" w:sz="0" w:space="0" w:color="auto"/>
            <w:bottom w:val="none" w:sz="0" w:space="0" w:color="auto"/>
            <w:right w:val="none" w:sz="0" w:space="0" w:color="auto"/>
          </w:divBdr>
        </w:div>
        <w:div w:id="859589618">
          <w:marLeft w:val="1800"/>
          <w:marRight w:val="0"/>
          <w:marTop w:val="53"/>
          <w:marBottom w:val="0"/>
          <w:divBdr>
            <w:top w:val="none" w:sz="0" w:space="0" w:color="auto"/>
            <w:left w:val="none" w:sz="0" w:space="0" w:color="auto"/>
            <w:bottom w:val="none" w:sz="0" w:space="0" w:color="auto"/>
            <w:right w:val="none" w:sz="0" w:space="0" w:color="auto"/>
          </w:divBdr>
        </w:div>
        <w:div w:id="1842692703">
          <w:marLeft w:val="1800"/>
          <w:marRight w:val="0"/>
          <w:marTop w:val="53"/>
          <w:marBottom w:val="0"/>
          <w:divBdr>
            <w:top w:val="none" w:sz="0" w:space="0" w:color="auto"/>
            <w:left w:val="none" w:sz="0" w:space="0" w:color="auto"/>
            <w:bottom w:val="none" w:sz="0" w:space="0" w:color="auto"/>
            <w:right w:val="none" w:sz="0" w:space="0" w:color="auto"/>
          </w:divBdr>
        </w:div>
        <w:div w:id="1816755711">
          <w:marLeft w:val="1800"/>
          <w:marRight w:val="0"/>
          <w:marTop w:val="53"/>
          <w:marBottom w:val="0"/>
          <w:divBdr>
            <w:top w:val="none" w:sz="0" w:space="0" w:color="auto"/>
            <w:left w:val="none" w:sz="0" w:space="0" w:color="auto"/>
            <w:bottom w:val="none" w:sz="0" w:space="0" w:color="auto"/>
            <w:right w:val="none" w:sz="0" w:space="0" w:color="auto"/>
          </w:divBdr>
        </w:div>
        <w:div w:id="192622282">
          <w:marLeft w:val="1800"/>
          <w:marRight w:val="0"/>
          <w:marTop w:val="53"/>
          <w:marBottom w:val="0"/>
          <w:divBdr>
            <w:top w:val="none" w:sz="0" w:space="0" w:color="auto"/>
            <w:left w:val="none" w:sz="0" w:space="0" w:color="auto"/>
            <w:bottom w:val="none" w:sz="0" w:space="0" w:color="auto"/>
            <w:right w:val="none" w:sz="0" w:space="0" w:color="auto"/>
          </w:divBdr>
        </w:div>
        <w:div w:id="823932992">
          <w:marLeft w:val="1166"/>
          <w:marRight w:val="0"/>
          <w:marTop w:val="77"/>
          <w:marBottom w:val="0"/>
          <w:divBdr>
            <w:top w:val="none" w:sz="0" w:space="0" w:color="auto"/>
            <w:left w:val="none" w:sz="0" w:space="0" w:color="auto"/>
            <w:bottom w:val="none" w:sz="0" w:space="0" w:color="auto"/>
            <w:right w:val="none" w:sz="0" w:space="0" w:color="auto"/>
          </w:divBdr>
        </w:div>
        <w:div w:id="1672291704">
          <w:marLeft w:val="1166"/>
          <w:marRight w:val="0"/>
          <w:marTop w:val="77"/>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28405332">
      <w:bodyDiv w:val="1"/>
      <w:marLeft w:val="0"/>
      <w:marRight w:val="0"/>
      <w:marTop w:val="0"/>
      <w:marBottom w:val="0"/>
      <w:divBdr>
        <w:top w:val="none" w:sz="0" w:space="0" w:color="auto"/>
        <w:left w:val="none" w:sz="0" w:space="0" w:color="auto"/>
        <w:bottom w:val="none" w:sz="0" w:space="0" w:color="auto"/>
        <w:right w:val="none" w:sz="0" w:space="0" w:color="auto"/>
      </w:divBdr>
      <w:divsChild>
        <w:div w:id="887184292">
          <w:marLeft w:val="360"/>
          <w:marRight w:val="0"/>
          <w:marTop w:val="200"/>
          <w:marBottom w:val="0"/>
          <w:divBdr>
            <w:top w:val="none" w:sz="0" w:space="0" w:color="auto"/>
            <w:left w:val="none" w:sz="0" w:space="0" w:color="auto"/>
            <w:bottom w:val="none" w:sz="0" w:space="0" w:color="auto"/>
            <w:right w:val="none" w:sz="0" w:space="0" w:color="auto"/>
          </w:divBdr>
        </w:div>
        <w:div w:id="1701707841">
          <w:marLeft w:val="1080"/>
          <w:marRight w:val="0"/>
          <w:marTop w:val="100"/>
          <w:marBottom w:val="0"/>
          <w:divBdr>
            <w:top w:val="none" w:sz="0" w:space="0" w:color="auto"/>
            <w:left w:val="none" w:sz="0" w:space="0" w:color="auto"/>
            <w:bottom w:val="none" w:sz="0" w:space="0" w:color="auto"/>
            <w:right w:val="none" w:sz="0" w:space="0" w:color="auto"/>
          </w:divBdr>
        </w:div>
        <w:div w:id="61222510">
          <w:marLeft w:val="1080"/>
          <w:marRight w:val="0"/>
          <w:marTop w:val="100"/>
          <w:marBottom w:val="0"/>
          <w:divBdr>
            <w:top w:val="none" w:sz="0" w:space="0" w:color="auto"/>
            <w:left w:val="none" w:sz="0" w:space="0" w:color="auto"/>
            <w:bottom w:val="none" w:sz="0" w:space="0" w:color="auto"/>
            <w:right w:val="none" w:sz="0" w:space="0" w:color="auto"/>
          </w:divBdr>
        </w:div>
        <w:div w:id="1591892144">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19E6B-D1E0-4CBA-8198-0AC8875CB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2017-09-11T16:11:00Z</dcterms:created>
  <dcterms:modified xsi:type="dcterms:W3CDTF">2017-09-11T16:13:00Z</dcterms:modified>
</cp:coreProperties>
</file>